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黑体" w:eastAsia="黑体"/>
          <w:sz w:val="30"/>
          <w:szCs w:val="30"/>
          <w:lang w:val="en-US" w:eastAsia="zh-CN"/>
        </w:rPr>
      </w:pPr>
      <w:r>
        <w:rPr>
          <w:rFonts w:hint="eastAsia" w:ascii="黑体" w:eastAsia="黑体"/>
          <w:sz w:val="30"/>
          <w:szCs w:val="30"/>
          <w:lang w:val="en-US" w:eastAsia="zh-CN"/>
        </w:rPr>
        <w:t>附件2</w:t>
      </w:r>
    </w:p>
    <w:p>
      <w:pPr>
        <w:spacing w:line="360" w:lineRule="auto"/>
        <w:jc w:val="center"/>
        <w:rPr>
          <w:rFonts w:hint="eastAsia" w:ascii="黑体" w:eastAsia="黑体"/>
          <w:sz w:val="30"/>
          <w:szCs w:val="30"/>
          <w:lang w:val="en-US" w:eastAsia="zh-CN"/>
        </w:rPr>
      </w:pPr>
    </w:p>
    <w:p>
      <w:pPr>
        <w:spacing w:line="360" w:lineRule="auto"/>
        <w:jc w:val="center"/>
        <w:rPr>
          <w:rFonts w:hint="eastAsia" w:ascii="黑体" w:eastAsia="黑体"/>
          <w:sz w:val="30"/>
          <w:szCs w:val="30"/>
          <w:lang w:val="en-US" w:eastAsia="zh-CN"/>
        </w:rPr>
      </w:pPr>
    </w:p>
    <w:p>
      <w:pPr>
        <w:spacing w:line="360" w:lineRule="auto"/>
        <w:jc w:val="center"/>
        <w:rPr>
          <w:rFonts w:hint="eastAsia" w:ascii="黑体" w:eastAsia="黑体"/>
          <w:sz w:val="30"/>
          <w:szCs w:val="30"/>
          <w:lang w:val="en-US" w:eastAsia="zh-CN"/>
        </w:rPr>
      </w:pPr>
    </w:p>
    <w:p>
      <w:pPr>
        <w:spacing w:line="360" w:lineRule="auto"/>
        <w:jc w:val="both"/>
        <w:rPr>
          <w:rFonts w:hint="eastAsia" w:ascii="黑体" w:eastAsia="黑体"/>
          <w:sz w:val="30"/>
          <w:szCs w:val="30"/>
          <w:lang w:val="en-US" w:eastAsia="zh-CN"/>
        </w:rPr>
      </w:pPr>
    </w:p>
    <w:p>
      <w:pPr>
        <w:jc w:val="center"/>
        <w:rPr>
          <w:rFonts w:hint="eastAsia" w:ascii="华文中宋" w:hAnsi="华文中宋" w:eastAsia="华文中宋"/>
          <w:b/>
          <w:sz w:val="72"/>
          <w:szCs w:val="72"/>
          <w:lang w:val="en-US" w:eastAsia="zh-CN"/>
        </w:rPr>
      </w:pPr>
      <w:r>
        <w:rPr>
          <w:rFonts w:ascii="华文中宋" w:hAnsi="华文中宋" w:eastAsia="华文中宋"/>
          <w:b/>
          <w:sz w:val="72"/>
          <w:szCs w:val="72"/>
          <w:lang w:val="en-US" w:eastAsia="zh-CN"/>
        </w:rPr>
        <w:t>中共上海市委政法委员会本级</w:t>
      </w:r>
      <w:r>
        <w:rPr>
          <w:rFonts w:hint="eastAsia" w:ascii="华文中宋" w:hAnsi="华文中宋" w:eastAsia="华文中宋"/>
          <w:b/>
          <w:sz w:val="72"/>
          <w:szCs w:val="72"/>
          <w:lang w:val="en-US" w:eastAsia="zh-CN"/>
        </w:rPr>
        <w:t>2024年度决算</w:t>
      </w:r>
    </w:p>
    <w:p>
      <w:pPr>
        <w:spacing w:line="360" w:lineRule="auto"/>
        <w:jc w:val="center"/>
        <w:rPr>
          <w:rFonts w:hint="eastAsia" w:ascii="黑体" w:eastAsia="黑体"/>
          <w:sz w:val="84"/>
          <w:szCs w:val="84"/>
          <w:lang w:val="en-US" w:eastAsia="zh-CN"/>
        </w:rPr>
      </w:pPr>
    </w:p>
    <w:p>
      <w:pPr>
        <w:spacing w:line="360" w:lineRule="auto"/>
        <w:jc w:val="center"/>
        <w:rPr>
          <w:rFonts w:hint="eastAsia" w:ascii="黑体" w:hAnsi="华文中宋" w:eastAsia="黑体"/>
          <w:b/>
          <w:sz w:val="32"/>
          <w:szCs w:val="32"/>
          <w:lang w:val="en-US" w:eastAsia="zh-CN"/>
        </w:rPr>
      </w:pPr>
      <w:r>
        <w:rPr>
          <w:rFonts w:ascii="华文中宋" w:hAnsi="华文中宋" w:eastAsia="华文中宋"/>
          <w:b/>
          <w:sz w:val="44"/>
          <w:szCs w:val="44"/>
          <w:lang w:val="en-US" w:eastAsia="zh-CN"/>
        </w:rPr>
        <w:br w:type="page"/>
      </w:r>
      <w:r>
        <w:rPr>
          <w:rFonts w:hint="eastAsia" w:ascii="黑体" w:hAnsi="华文中宋" w:eastAsia="黑体"/>
          <w:b/>
          <w:sz w:val="32"/>
          <w:szCs w:val="32"/>
          <w:lang w:val="en-US" w:eastAsia="zh-CN"/>
        </w:rPr>
        <w:t>目  录</w:t>
      </w:r>
    </w:p>
    <w:p>
      <w:pPr>
        <w:spacing w:line="360" w:lineRule="auto"/>
        <w:jc w:val="center"/>
        <w:rPr>
          <w:rFonts w:hint="eastAsia" w:ascii="黑体" w:hAnsi="华文中宋" w:eastAsia="黑体"/>
          <w:b/>
          <w:sz w:val="32"/>
          <w:szCs w:val="32"/>
          <w:lang w:val="en-US" w:eastAsia="zh-CN"/>
        </w:rPr>
      </w:pPr>
    </w:p>
    <w:p>
      <w:pPr>
        <w:spacing w:line="360" w:lineRule="auto"/>
        <w:jc w:val="both"/>
        <w:rPr>
          <w:rFonts w:hint="eastAsia" w:ascii="黑体" w:eastAsia="黑体"/>
          <w:sz w:val="30"/>
          <w:szCs w:val="30"/>
          <w:lang w:val="en-US" w:eastAsia="zh-CN"/>
        </w:rPr>
      </w:pPr>
      <w:r>
        <w:rPr>
          <w:rFonts w:hint="eastAsia" w:ascii="黑体" w:eastAsia="黑体"/>
          <w:sz w:val="30"/>
          <w:szCs w:val="30"/>
          <w:lang w:val="en-US" w:eastAsia="zh-CN"/>
        </w:rPr>
        <w:t>第一部分 中共上海市委政法委员会本级概况</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一、主要职能</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二、机构设置</w:t>
      </w:r>
    </w:p>
    <w:p>
      <w:pPr>
        <w:spacing w:line="360" w:lineRule="auto"/>
        <w:jc w:val="both"/>
        <w:rPr>
          <w:rFonts w:hint="eastAsia" w:ascii="黑体" w:eastAsia="黑体"/>
          <w:sz w:val="30"/>
          <w:szCs w:val="30"/>
          <w:lang w:val="en-US" w:eastAsia="zh-CN"/>
        </w:rPr>
      </w:pPr>
      <w:r>
        <w:rPr>
          <w:rFonts w:hint="eastAsia" w:ascii="黑体" w:eastAsia="黑体"/>
          <w:sz w:val="30"/>
          <w:szCs w:val="30"/>
          <w:lang w:val="en-US" w:eastAsia="zh-CN"/>
        </w:rPr>
        <w:t>第二部分 中共上海市委政法委员会本级2024年度决算表</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一、收入支出决算总表</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二、收入决算表</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三、支出决算表</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四、财政拨款收入支出决算总表</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五、一般公共预算财政拨款支出决算表</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六、一般公共预算财政拨款基本支出决算表</w:t>
      </w:r>
    </w:p>
    <w:p>
      <w:pPr>
        <w:spacing w:line="360" w:lineRule="auto"/>
        <w:jc w:val="both"/>
        <w:rPr>
          <w:rFonts w:hint="eastAsia" w:ascii="楷体_GB2312" w:eastAsia="楷体_GB2312"/>
          <w:color w:val="000000"/>
          <w:sz w:val="30"/>
          <w:szCs w:val="30"/>
          <w:lang w:val="en-US" w:eastAsia="zh-CN"/>
        </w:rPr>
      </w:pPr>
      <w:r>
        <w:rPr>
          <w:rFonts w:hint="eastAsia" w:ascii="楷体_GB2312" w:eastAsia="楷体_GB2312"/>
          <w:color w:val="000000"/>
          <w:sz w:val="30"/>
          <w:szCs w:val="30"/>
          <w:lang w:val="en-US" w:eastAsia="zh-CN"/>
        </w:rPr>
        <w:t>七、财政拨款“三公”经费支出决算表</w:t>
      </w:r>
    </w:p>
    <w:p>
      <w:pPr>
        <w:spacing w:line="360" w:lineRule="auto"/>
        <w:jc w:val="both"/>
        <w:rPr>
          <w:rFonts w:hint="eastAsia" w:ascii="楷体_GB2312" w:eastAsia="楷体_GB2312"/>
          <w:sz w:val="30"/>
          <w:szCs w:val="30"/>
          <w:lang w:val="en-US" w:eastAsia="zh-CN"/>
        </w:rPr>
      </w:pPr>
      <w:r>
        <w:rPr>
          <w:rFonts w:hint="eastAsia" w:ascii="楷体_GB2312" w:eastAsia="楷体_GB2312"/>
          <w:sz w:val="30"/>
          <w:szCs w:val="30"/>
          <w:lang w:val="en-US" w:eastAsia="zh-CN"/>
        </w:rPr>
        <w:t>八、政府性基金预算财政拨款收入支出决算表</w:t>
      </w:r>
    </w:p>
    <w:p>
      <w:pPr>
        <w:spacing w:line="360" w:lineRule="auto"/>
        <w:jc w:val="both"/>
        <w:rPr>
          <w:rFonts w:hint="eastAsia" w:ascii="楷体_GB2312" w:eastAsia="楷体_GB2312"/>
          <w:sz w:val="30"/>
          <w:szCs w:val="30"/>
          <w:lang w:val="en-US" w:eastAsia="zh-CN"/>
        </w:rPr>
      </w:pPr>
      <w:r>
        <w:rPr>
          <w:rFonts w:hint="eastAsia" w:ascii="楷体_GB2312" w:eastAsia="楷体_GB2312"/>
          <w:sz w:val="30"/>
          <w:szCs w:val="30"/>
          <w:lang w:val="en-US" w:eastAsia="zh-CN"/>
        </w:rPr>
        <w:t>九、国有资本经营预算财政拨款收入支出决算表</w:t>
      </w:r>
    </w:p>
    <w:p>
      <w:pPr>
        <w:spacing w:line="360" w:lineRule="auto"/>
        <w:jc w:val="both"/>
        <w:rPr>
          <w:rFonts w:hint="eastAsia" w:ascii="黑体" w:eastAsia="黑体"/>
          <w:sz w:val="30"/>
          <w:szCs w:val="30"/>
          <w:lang w:val="en-US" w:eastAsia="zh-CN"/>
        </w:rPr>
      </w:pPr>
      <w:r>
        <w:rPr>
          <w:rFonts w:hint="eastAsia" w:ascii="黑体" w:eastAsia="黑体"/>
          <w:sz w:val="30"/>
          <w:szCs w:val="30"/>
          <w:lang w:val="en-US" w:eastAsia="zh-CN"/>
        </w:rPr>
        <w:t>第三部分 中共上海市委政法委员会本级2024年度决算情况说明</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一、收入支出决算总体情况说明</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二、收入决算情况说明</w:t>
      </w:r>
    </w:p>
    <w:p>
      <w:pPr>
        <w:spacing w:line="360" w:lineRule="auto"/>
        <w:jc w:val="both"/>
        <w:rPr>
          <w:rFonts w:hint="eastAsia" w:ascii="黑体" w:eastAsia="黑体"/>
          <w:sz w:val="30"/>
          <w:szCs w:val="30"/>
          <w:lang w:val="en-US" w:eastAsia="zh-CN"/>
        </w:rPr>
      </w:pPr>
      <w:r>
        <w:rPr>
          <w:rFonts w:hint="eastAsia" w:ascii="楷体_GB2312" w:eastAsia="楷体_GB2312"/>
          <w:sz w:val="30"/>
          <w:szCs w:val="30"/>
          <w:lang w:val="en-US" w:eastAsia="zh-CN"/>
        </w:rPr>
        <w:t>三、支出决算情况说明</w:t>
      </w:r>
    </w:p>
    <w:p>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四、财政拨款收入支出决算总体情况说明</w:t>
      </w:r>
    </w:p>
    <w:p>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五、一般公共预算财政拨款支出决算情况说明</w:t>
      </w:r>
    </w:p>
    <w:p>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六、一般公共预算财政拨款基本支出决算情况说明</w:t>
      </w:r>
    </w:p>
    <w:p>
      <w:pPr>
        <w:jc w:val="both"/>
        <w:outlineLvl w:val="0"/>
        <w:rPr>
          <w:rFonts w:hint="eastAsia" w:ascii="楷体_GB2312" w:eastAsia="楷体_GB2312"/>
          <w:sz w:val="30"/>
          <w:szCs w:val="30"/>
          <w:lang w:val="en-US" w:eastAsia="zh-CN"/>
        </w:rPr>
      </w:pPr>
      <w:r>
        <w:rPr>
          <w:rFonts w:hint="eastAsia" w:ascii="楷体_GB2312" w:eastAsia="楷体_GB2312"/>
          <w:color w:val="000000"/>
          <w:sz w:val="30"/>
          <w:szCs w:val="30"/>
          <w:lang w:val="en-US" w:eastAsia="zh-CN"/>
        </w:rPr>
        <w:t>七、</w:t>
      </w:r>
      <w:r>
        <w:rPr>
          <w:rFonts w:hint="eastAsia" w:ascii="楷体_GB2312" w:eastAsia="楷体_GB2312"/>
          <w:sz w:val="30"/>
          <w:szCs w:val="30"/>
          <w:lang w:val="en-US" w:eastAsia="zh-CN"/>
        </w:rPr>
        <w:t>财政拨款“三公”经费支出决算情况说明</w:t>
      </w:r>
    </w:p>
    <w:p>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八、政府性基金预算财政拨款收入支出决算情况说明</w:t>
      </w:r>
    </w:p>
    <w:p>
      <w:pPr>
        <w:jc w:val="both"/>
        <w:outlineLvl w:val="0"/>
        <w:rPr>
          <w:rFonts w:hint="eastAsia" w:ascii="楷体_GB2312" w:eastAsia="楷体_GB2312"/>
          <w:sz w:val="30"/>
          <w:szCs w:val="30"/>
          <w:lang w:val="en-US" w:eastAsia="zh-CN"/>
        </w:rPr>
      </w:pPr>
      <w:r>
        <w:rPr>
          <w:rFonts w:hint="eastAsia" w:ascii="楷体_GB2312" w:eastAsia="楷体_GB2312"/>
          <w:sz w:val="30"/>
          <w:szCs w:val="30"/>
          <w:lang w:val="en-US" w:eastAsia="zh-CN"/>
        </w:rPr>
        <w:t>九、国有资本经营预算财政拨款收入支出决算情况说明</w:t>
      </w:r>
    </w:p>
    <w:p>
      <w:pPr>
        <w:spacing w:line="360" w:lineRule="auto"/>
        <w:jc w:val="both"/>
        <w:rPr>
          <w:rFonts w:hint="eastAsia" w:ascii="楷体_GB2312" w:eastAsia="楷体_GB2312"/>
          <w:sz w:val="30"/>
          <w:szCs w:val="30"/>
          <w:lang w:val="en-US" w:eastAsia="zh-CN"/>
        </w:rPr>
      </w:pPr>
      <w:r>
        <w:rPr>
          <w:rFonts w:hint="eastAsia" w:ascii="楷体_GB2312" w:eastAsia="楷体_GB2312"/>
          <w:sz w:val="30"/>
          <w:szCs w:val="30"/>
          <w:lang w:val="en-US" w:eastAsia="zh-CN"/>
        </w:rPr>
        <w:t>十、预算绩效管理情况</w:t>
      </w:r>
    </w:p>
    <w:p>
      <w:pPr>
        <w:spacing w:line="360" w:lineRule="auto"/>
        <w:jc w:val="both"/>
        <w:rPr>
          <w:rFonts w:hint="eastAsia" w:ascii="黑体" w:eastAsia="黑体"/>
          <w:color w:val="000000"/>
          <w:sz w:val="30"/>
          <w:szCs w:val="30"/>
          <w:lang w:val="en-US" w:eastAsia="zh-CN"/>
        </w:rPr>
      </w:pPr>
      <w:r>
        <w:rPr>
          <w:rFonts w:hint="eastAsia" w:ascii="楷体_GB2312" w:eastAsia="楷体_GB2312"/>
          <w:color w:val="000000"/>
          <w:sz w:val="30"/>
          <w:szCs w:val="30"/>
          <w:lang w:val="en-US" w:eastAsia="zh-CN"/>
        </w:rPr>
        <w:t>十一、其他重要事项说明</w:t>
      </w:r>
    </w:p>
    <w:p>
      <w:pPr>
        <w:spacing w:line="360" w:lineRule="auto"/>
        <w:jc w:val="both"/>
        <w:rPr>
          <w:rFonts w:hint="eastAsia" w:ascii="黑体" w:eastAsia="黑体"/>
          <w:sz w:val="30"/>
          <w:szCs w:val="30"/>
          <w:lang w:val="en-US" w:eastAsia="zh-CN"/>
        </w:rPr>
      </w:pPr>
      <w:r>
        <w:rPr>
          <w:rFonts w:hint="eastAsia" w:ascii="黑体" w:eastAsia="黑体"/>
          <w:sz w:val="30"/>
          <w:szCs w:val="30"/>
          <w:lang w:val="en-US" w:eastAsia="zh-CN"/>
        </w:rPr>
        <w:t>第四部分 名词解释</w:t>
      </w:r>
    </w:p>
    <w:p>
      <w:pPr>
        <w:jc w:val="center"/>
        <w:rPr>
          <w:rFonts w:hint="eastAsia" w:ascii="华文中宋" w:hAnsi="华文中宋" w:eastAsia="华文中宋"/>
          <w:b/>
          <w:sz w:val="36"/>
          <w:lang w:val="en-US" w:eastAsia="zh-CN"/>
        </w:rPr>
      </w:pPr>
      <w:r>
        <w:rPr>
          <w:rFonts w:ascii="华文中宋" w:hAnsi="华文中宋" w:eastAsia="华文中宋"/>
          <w:b/>
          <w:sz w:val="36"/>
          <w:lang w:val="en-US" w:eastAsia="zh-CN"/>
        </w:rPr>
        <w:br w:type="page"/>
      </w:r>
      <w:r>
        <w:rPr>
          <w:rFonts w:hint="eastAsia" w:ascii="黑体" w:eastAsia="黑体"/>
          <w:sz w:val="30"/>
          <w:szCs w:val="30"/>
          <w:lang w:val="en-US" w:eastAsia="zh-CN"/>
        </w:rPr>
        <w:t>第一部分    中共上海市委政法委员会本级概况</w:t>
      </w:r>
    </w:p>
    <w:p>
      <w:pPr>
        <w:jc w:val="center"/>
        <w:rPr>
          <w:rFonts w:hint="eastAsia" w:ascii="黑体" w:eastAsia="黑体"/>
          <w:sz w:val="30"/>
          <w:szCs w:val="30"/>
          <w:lang w:val="en-US" w:eastAsia="zh-CN"/>
        </w:rPr>
      </w:pPr>
    </w:p>
    <w:p>
      <w:pPr>
        <w:numPr>
          <w:ilvl w:val="0"/>
          <w:numId w:val="2"/>
        </w:num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主要职能</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中共上海市委政法委员会是市委领导政法部门工作的职能部门。贯彻中央和市委决定，对政法工作研究提出全局性部署，推进平安上海、法治上海建设，加强过硬队伍建设，深化智能化建设，维护和确保社会大局稳定，促进社会公平正义，保障人民安居乐业，加强对政法工作的督查，统筹协调社会治安综合治理，维护社会稳定、禁毒等有关法律法规的实施工作。</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二、机构设置</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根据上述职责，中共上海市委政法委员会单位设1</w:t>
      </w:r>
      <w:r>
        <w:rPr>
          <w:rFonts w:hint="eastAsia" w:ascii="仿宋_GB2312" w:eastAsia="仿宋_GB2312"/>
          <w:sz w:val="30"/>
          <w:szCs w:val="30"/>
          <w:lang w:val="en" w:eastAsia="zh-CN"/>
        </w:rPr>
        <w:t>5</w:t>
      </w:r>
      <w:r>
        <w:rPr>
          <w:rFonts w:hint="eastAsia" w:ascii="仿宋_GB2312" w:eastAsia="仿宋_GB2312"/>
          <w:sz w:val="30"/>
          <w:szCs w:val="30"/>
          <w:lang w:val="en-US" w:eastAsia="zh-CN"/>
        </w:rPr>
        <w:t>个内设机构，包括：办公室、政治部(法官、检察官遴选和惩戒工作处）、政法队伍建设指导处、研究室、法治处、宣传处、司法和执法监督处、基层社会治理处、毒品预防处、禁毒指导处、综合改革处等。按照有关规定设置直属机关党委。</w:t>
      </w:r>
    </w:p>
    <w:p>
      <w:pPr>
        <w:numPr>
          <w:ilvl w:val="0"/>
          <w:numId w:val="2"/>
        </w:numPr>
        <w:ind w:firstLine="600" w:firstLineChars="200"/>
        <w:jc w:val="both"/>
        <w:outlineLvl w:val="0"/>
        <w:rPr>
          <w:rFonts w:hint="eastAsia" w:ascii="楷体_GB2312" w:eastAsia="楷体_GB2312"/>
          <w:b/>
          <w:sz w:val="30"/>
          <w:szCs w:val="30"/>
          <w:lang w:val="en-US" w:eastAsia="zh-CN"/>
        </w:rPr>
      </w:pPr>
      <w:r>
        <w:rPr>
          <w:rFonts w:ascii="仿宋_GB2312" w:eastAsia="仿宋_GB2312"/>
          <w:sz w:val="30"/>
          <w:szCs w:val="30"/>
          <w:lang w:val="en-US" w:eastAsia="zh-CN"/>
        </w:rPr>
        <w:br w:type="page"/>
      </w:r>
    </w:p>
    <w:p>
      <w:pPr>
        <w:jc w:val="left"/>
        <w:rPr>
          <w:rFonts w:hint="eastAsia" w:ascii="宋体" w:hAnsi="宋体" w:eastAsia="宋体" w:cs="宋体"/>
          <w:b w:val="0"/>
          <w:i w:val="0"/>
          <w:color w:val="000000"/>
          <w:sz w:val="21"/>
          <w:szCs w:val="21"/>
          <w:lang w:val="en-US" w:eastAsia="zh-CN"/>
        </w:rPr>
      </w:pPr>
      <w:r>
        <w:rPr>
          <w:rFonts w:hint="eastAsia" w:ascii="宋体" w:hAnsi="宋体" w:eastAsia="宋体" w:cs="宋体"/>
          <w:b w:val="0"/>
          <w:i w:val="0"/>
          <w:color w:val="000000"/>
          <w:sz w:val="21"/>
          <w:szCs w:val="21"/>
          <w:lang w:val="en-US" w:eastAsia="zh-CN"/>
        </w:rPr>
        <w:t>第二部分    中共上海市委政法委员会本级2024年度决算表</w:t>
      </w:r>
    </w:p>
    <w:p>
      <w:pPr>
        <w:autoSpaceDE w:val="0"/>
        <w:autoSpaceDN w:val="0"/>
        <w:adjustRightInd w:val="0"/>
        <w:jc w:val="center"/>
        <w:outlineLvl w:val="0"/>
        <w:rPr>
          <w:rFonts w:ascii="宋体" w:hAnsi="宋体"/>
          <w:szCs w:val="21"/>
          <w:lang w:val="en-US" w:eastAsia="zh-CN"/>
        </w:rPr>
      </w:pPr>
      <w:r>
        <w:rPr>
          <w:rFonts w:hint="eastAsia" w:ascii="宋体" w:hAnsi="宋体"/>
          <w:szCs w:val="21"/>
          <w:lang w:val="en-US" w:eastAsia="zh-CN"/>
        </w:rPr>
        <w:t>收入支出决算总表</w:t>
      </w:r>
    </w:p>
    <w:p>
      <w:pPr>
        <w:autoSpaceDE w:val="0"/>
        <w:autoSpaceDN w:val="0"/>
        <w:adjustRightInd w:val="0"/>
        <w:jc w:val="both"/>
        <w:outlineLvl w:val="0"/>
        <w:rPr>
          <w:rFonts w:ascii="宋体" w:hAnsi="宋体"/>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386"/>
        <w:gridCol w:w="1770"/>
        <w:gridCol w:w="3156"/>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12" w:type="dxa"/>
            <w:gridSpan w:val="3"/>
            <w:noWrap w:val="0"/>
            <w:vAlign w:val="top"/>
          </w:tcPr>
          <w:p>
            <w:pPr>
              <w:jc w:val="both"/>
              <w:rPr>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386" w:type="dxa"/>
            <w:tcBorders>
              <w:tl2br w:val="nil"/>
              <w:tr2bl w:val="nil"/>
            </w:tcBorders>
            <w:noWrap w:val="0"/>
            <w:vAlign w:val="top"/>
          </w:tcPr>
          <w:p>
            <w:pPr>
              <w:jc w:val="left"/>
              <w:rPr>
                <w:lang w:val="en-US" w:eastAsia="zh-CN"/>
              </w:rPr>
            </w:pPr>
          </w:p>
        </w:tc>
        <w:tc>
          <w:tcPr>
            <w:tcW w:w="1770" w:type="dxa"/>
            <w:tcBorders>
              <w:tl2br w:val="nil"/>
              <w:tr2bl w:val="nil"/>
            </w:tcBorders>
            <w:noWrap w:val="0"/>
            <w:vAlign w:val="top"/>
          </w:tcPr>
          <w:p>
            <w:pPr>
              <w:jc w:val="center"/>
              <w:rPr>
                <w:lang w:val="en-US" w:eastAsia="zh-CN"/>
              </w:rPr>
            </w:pPr>
          </w:p>
        </w:tc>
        <w:tc>
          <w:tcPr>
            <w:tcW w:w="3156" w:type="dxa"/>
            <w:tcBorders>
              <w:tl2br w:val="nil"/>
              <w:tr2bl w:val="nil"/>
            </w:tcBorders>
            <w:noWrap w:val="0"/>
            <w:vAlign w:val="top"/>
          </w:tcPr>
          <w:p>
            <w:pPr>
              <w:jc w:val="right"/>
              <w:rPr>
                <w:lang w:val="en-US" w:eastAsia="zh-CN"/>
              </w:rPr>
            </w:pPr>
            <w:r>
              <w:rPr>
                <w:rFonts w:ascii="宋体" w:hAnsi="宋体" w:eastAsia="宋体" w:cs="宋体"/>
                <w:sz w:val="20"/>
                <w:lang w:val="en-US" w:eastAsia="zh-CN"/>
              </w:rPr>
              <w:t>单位：万元</w:t>
            </w:r>
          </w:p>
        </w:tc>
      </w:tr>
    </w:tbl>
    <w:p>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760"/>
        <w:gridCol w:w="1480"/>
        <w:gridCol w:w="2600"/>
        <w:gridCol w:w="14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gridSpan w:val="2"/>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收入</w:t>
            </w:r>
          </w:p>
        </w:tc>
        <w:tc>
          <w:tcPr>
            <w:tcW w:w="2600" w:type="dxa"/>
            <w:gridSpan w:val="2"/>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项目</w:t>
            </w:r>
          </w:p>
        </w:tc>
        <w:tc>
          <w:tcPr>
            <w:tcW w:w="1480"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决算数</w:t>
            </w:r>
          </w:p>
        </w:tc>
        <w:tc>
          <w:tcPr>
            <w:tcW w:w="2600"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项目</w:t>
            </w:r>
          </w:p>
        </w:tc>
        <w:tc>
          <w:tcPr>
            <w:tcW w:w="1472"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一、一般公共预算财政拨款收入</w:t>
            </w:r>
          </w:p>
        </w:tc>
        <w:tc>
          <w:tcPr>
            <w:tcW w:w="1480" w:type="dxa"/>
            <w:tcBorders>
              <w:tl2br w:val="nil"/>
              <w:tr2bl w:val="nil"/>
            </w:tcBorders>
            <w:noWrap w:val="0"/>
            <w:vAlign w:val="center"/>
          </w:tcPr>
          <w:p>
            <w:pPr>
              <w:jc w:val="right"/>
              <w:rPr>
                <w:rFonts w:hint="default"/>
                <w:sz w:val="21"/>
                <w:szCs w:val="21"/>
                <w:lang w:val="en-US" w:eastAsia="zh-CN"/>
              </w:rPr>
            </w:pPr>
            <w:r>
              <w:rPr>
                <w:rFonts w:hint="eastAsia" w:ascii="宋体" w:hAnsi="宋体" w:eastAsia="宋体" w:cs="宋体"/>
                <w:b w:val="0"/>
                <w:i w:val="0"/>
                <w:color w:val="000000"/>
                <w:sz w:val="21"/>
                <w:szCs w:val="21"/>
                <w:lang w:val="en-US" w:eastAsia="zh-CN"/>
              </w:rPr>
              <w:t>5,805.92</w:t>
            </w: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一、一般公共服务支出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二、政府性基金预算财政拨款收入</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二、外交支出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三、国有资本经营预算财政拨款收入</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三、国防支出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四、上级补助收入</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四、公共安全支出</w:t>
            </w:r>
          </w:p>
        </w:tc>
        <w:tc>
          <w:tcPr>
            <w:tcW w:w="1472" w:type="dxa"/>
            <w:tcBorders>
              <w:tl2br w:val="nil"/>
              <w:tr2bl w:val="nil"/>
            </w:tcBorders>
            <w:noWrap w:val="0"/>
            <w:vAlign w:val="center"/>
          </w:tcPr>
          <w:p>
            <w:pPr>
              <w:jc w:val="right"/>
              <w:rPr>
                <w:sz w:val="21"/>
                <w:szCs w:val="21"/>
                <w:lang w:val="en-US" w:eastAsia="zh-CN"/>
              </w:rPr>
            </w:pPr>
            <w:r>
              <w:rPr>
                <w:rFonts w:hint="eastAsia" w:ascii="宋体" w:hAnsi="宋体" w:cs="宋体"/>
                <w:b w:val="0"/>
                <w:i w:val="0"/>
                <w:color w:val="000000"/>
                <w:sz w:val="21"/>
                <w:szCs w:val="21"/>
                <w:lang w:val="en-US" w:eastAsia="zh-CN"/>
              </w:rPr>
              <w:t>5,525</w:t>
            </w:r>
            <w:r>
              <w:rPr>
                <w:rFonts w:ascii="宋体" w:hAnsi="宋体" w:eastAsia="宋体" w:cs="宋体"/>
                <w:b w:val="0"/>
                <w:i w:val="0"/>
                <w:color w:val="000000"/>
                <w:sz w:val="21"/>
                <w:szCs w:val="21"/>
                <w:lang w:val="en-US" w:eastAsia="zh-CN"/>
              </w:rPr>
              <w:t>.48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五、事业收入</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五、教育支出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六、经营收入</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六、科学技术支出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七、附属单位上缴收入</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七、文化旅游体育与传媒支出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八、其他收入</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八、社会保障和就业支出</w:t>
            </w:r>
          </w:p>
        </w:tc>
        <w:tc>
          <w:tcPr>
            <w:tcW w:w="1472" w:type="dxa"/>
            <w:tcBorders>
              <w:tl2br w:val="nil"/>
              <w:tr2bl w:val="nil"/>
            </w:tcBorders>
            <w:noWrap w:val="0"/>
            <w:vAlign w:val="center"/>
          </w:tcPr>
          <w:p>
            <w:pPr>
              <w:jc w:val="right"/>
              <w:rPr>
                <w:sz w:val="21"/>
                <w:szCs w:val="21"/>
                <w:lang w:val="en-US" w:eastAsia="zh-CN"/>
              </w:rPr>
            </w:pPr>
            <w:r>
              <w:rPr>
                <w:rFonts w:ascii="宋体" w:hAnsi="宋体" w:eastAsia="宋体" w:cs="宋体"/>
                <w:b w:val="0"/>
                <w:i w:val="0"/>
                <w:color w:val="000000"/>
                <w:sz w:val="21"/>
                <w:szCs w:val="21"/>
                <w:lang w:val="en-US" w:eastAsia="zh-CN"/>
              </w:rPr>
              <w:t>23.20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九、卫生健康支出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十、节能环保支出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十一、城乡社区支出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十二、农林水支出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十三、交通运输支出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十四、资源勘探信息等支出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十五、商业服务业等支出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十六、金融支出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十七、援助其他地区支出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十八、自然资源海洋气象等支出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十九、住房保障支出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二十、粮油物资储备支出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二十一、国有资本经营预算支出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二十二、灾害防治及应急管理支出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二十三、其他支出</w:t>
            </w:r>
          </w:p>
        </w:tc>
        <w:tc>
          <w:tcPr>
            <w:tcW w:w="1472" w:type="dxa"/>
            <w:tcBorders>
              <w:tl2br w:val="nil"/>
              <w:tr2bl w:val="nil"/>
            </w:tcBorders>
            <w:noWrap w:val="0"/>
            <w:vAlign w:val="center"/>
          </w:tcPr>
          <w:p>
            <w:pPr>
              <w:jc w:val="right"/>
              <w:rPr>
                <w:sz w:val="21"/>
                <w:szCs w:val="21"/>
                <w:lang w:val="en-US" w:eastAsia="zh-CN"/>
              </w:rPr>
            </w:pPr>
            <w:r>
              <w:rPr>
                <w:rFonts w:ascii="宋体" w:hAnsi="宋体" w:eastAsia="宋体" w:cs="宋体"/>
                <w:b w:val="0"/>
                <w:i w:val="0"/>
                <w:color w:val="000000"/>
                <w:sz w:val="21"/>
                <w:szCs w:val="21"/>
                <w:lang w:val="en-US" w:eastAsia="zh-CN"/>
              </w:rPr>
              <w:t>257.24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5" w:hRule="exact"/>
          <w:jc w:val="center"/>
        </w:trPr>
        <w:tc>
          <w:tcPr>
            <w:tcW w:w="2760" w:type="dxa"/>
            <w:tcBorders>
              <w:tl2br w:val="nil"/>
              <w:tr2bl w:val="nil"/>
            </w:tcBorders>
            <w:noWrap w:val="0"/>
            <w:vAlign w:val="center"/>
          </w:tcPr>
          <w:p>
            <w:pPr>
              <w:jc w:val="both"/>
              <w:rPr>
                <w:sz w:val="21"/>
                <w:szCs w:val="21"/>
                <w:lang w:val="en-US" w:eastAsia="zh-CN"/>
              </w:rPr>
            </w:pPr>
          </w:p>
        </w:tc>
        <w:tc>
          <w:tcPr>
            <w:tcW w:w="1480" w:type="dxa"/>
            <w:tcBorders>
              <w:tl2br w:val="nil"/>
              <w:tr2bl w:val="nil"/>
            </w:tcBorders>
            <w:noWrap w:val="0"/>
            <w:vAlign w:val="center"/>
          </w:tcPr>
          <w:p>
            <w:pPr>
              <w:jc w:val="both"/>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二十四、抗疫特别国债安排的支出</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本年收入合计</w:t>
            </w:r>
          </w:p>
        </w:tc>
        <w:tc>
          <w:tcPr>
            <w:tcW w:w="1480" w:type="dxa"/>
            <w:tcBorders>
              <w:tl2br w:val="nil"/>
              <w:tr2bl w:val="nil"/>
            </w:tcBorders>
            <w:noWrap w:val="0"/>
            <w:vAlign w:val="center"/>
          </w:tcPr>
          <w:p>
            <w:pPr>
              <w:jc w:val="right"/>
              <w:rPr>
                <w:sz w:val="21"/>
                <w:szCs w:val="21"/>
                <w:lang w:val="en-US" w:eastAsia="zh-CN"/>
              </w:rPr>
            </w:pPr>
            <w:r>
              <w:rPr>
                <w:rFonts w:hint="eastAsia" w:ascii="宋体" w:hAnsi="宋体" w:eastAsia="宋体" w:cs="宋体"/>
                <w:b w:val="0"/>
                <w:i w:val="0"/>
                <w:color w:val="000000"/>
                <w:sz w:val="21"/>
                <w:szCs w:val="21"/>
                <w:lang w:val="en-US" w:eastAsia="zh-CN"/>
              </w:rPr>
              <w:t>5,805.92</w:t>
            </w:r>
          </w:p>
        </w:tc>
        <w:tc>
          <w:tcPr>
            <w:tcW w:w="2600"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本年支出合计</w:t>
            </w:r>
          </w:p>
        </w:tc>
        <w:tc>
          <w:tcPr>
            <w:tcW w:w="1472" w:type="dxa"/>
            <w:tcBorders>
              <w:tl2br w:val="nil"/>
              <w:tr2bl w:val="nil"/>
            </w:tcBorders>
            <w:noWrap w:val="0"/>
            <w:vAlign w:val="center"/>
          </w:tcPr>
          <w:p>
            <w:pPr>
              <w:jc w:val="right"/>
              <w:rPr>
                <w:sz w:val="21"/>
                <w:szCs w:val="21"/>
                <w:lang w:val="en-US" w:eastAsia="zh-CN"/>
              </w:rPr>
            </w:pPr>
            <w:r>
              <w:rPr>
                <w:rFonts w:hint="eastAsia" w:ascii="宋体" w:hAnsi="宋体" w:eastAsia="宋体" w:cs="宋体"/>
                <w:b w:val="0"/>
                <w:i w:val="0"/>
                <w:color w:val="000000"/>
                <w:sz w:val="21"/>
                <w:szCs w:val="21"/>
                <w:lang w:val="en-US" w:eastAsia="zh-CN"/>
              </w:rPr>
              <w:t>5,805.92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使用非财政拨款结余</w:t>
            </w:r>
          </w:p>
        </w:tc>
        <w:tc>
          <w:tcPr>
            <w:tcW w:w="1480" w:type="dxa"/>
            <w:tcBorders>
              <w:tl2br w:val="nil"/>
              <w:tr2bl w:val="nil"/>
            </w:tcBorders>
            <w:noWrap w:val="0"/>
            <w:vAlign w:val="center"/>
          </w:tcPr>
          <w:p>
            <w:pPr>
              <w:jc w:val="right"/>
              <w:rPr>
                <w:sz w:val="21"/>
                <w:szCs w:val="21"/>
                <w:lang w:val="en-US" w:eastAsia="zh-CN"/>
              </w:rPr>
            </w:pP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结余分配</w:t>
            </w:r>
          </w:p>
        </w:tc>
        <w:tc>
          <w:tcPr>
            <w:tcW w:w="1472" w:type="dxa"/>
            <w:tcBorders>
              <w:tl2br w:val="nil"/>
              <w:tr2bl w:val="nil"/>
            </w:tcBorders>
            <w:noWrap w:val="0"/>
            <w:vAlign w:val="center"/>
          </w:tcPr>
          <w:p>
            <w:pPr>
              <w:jc w:val="right"/>
              <w:rPr>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年初结转和结余</w:t>
            </w:r>
          </w:p>
        </w:tc>
        <w:tc>
          <w:tcPr>
            <w:tcW w:w="1480" w:type="dxa"/>
            <w:tcBorders>
              <w:tl2br w:val="nil"/>
              <w:tr2bl w:val="nil"/>
            </w:tcBorders>
            <w:noWrap w:val="0"/>
            <w:vAlign w:val="center"/>
          </w:tcPr>
          <w:p>
            <w:pPr>
              <w:jc w:val="right"/>
              <w:rPr>
                <w:sz w:val="21"/>
                <w:szCs w:val="21"/>
                <w:lang w:val="en-US" w:eastAsia="zh-CN"/>
              </w:rPr>
            </w:pPr>
            <w:r>
              <w:rPr>
                <w:rFonts w:ascii="宋体" w:hAnsi="宋体" w:eastAsia="宋体" w:cs="宋体"/>
                <w:b w:val="0"/>
                <w:i w:val="0"/>
                <w:color w:val="000000"/>
                <w:sz w:val="21"/>
                <w:szCs w:val="21"/>
                <w:lang w:val="en-US" w:eastAsia="zh-CN"/>
              </w:rPr>
              <w:t>22.84</w:t>
            </w:r>
          </w:p>
        </w:tc>
        <w:tc>
          <w:tcPr>
            <w:tcW w:w="2600" w:type="dxa"/>
            <w:tcBorders>
              <w:tl2br w:val="nil"/>
              <w:tr2bl w:val="nil"/>
            </w:tcBorders>
            <w:noWrap w:val="0"/>
            <w:vAlign w:val="center"/>
          </w:tcPr>
          <w:p>
            <w:pPr>
              <w:jc w:val="left"/>
              <w:rPr>
                <w:sz w:val="21"/>
                <w:szCs w:val="21"/>
                <w:lang w:val="en-US" w:eastAsia="zh-CN"/>
              </w:rPr>
            </w:pPr>
            <w:r>
              <w:rPr>
                <w:rFonts w:ascii="宋体" w:hAnsi="宋体" w:eastAsia="宋体" w:cs="宋体"/>
                <w:b w:val="0"/>
                <w:i w:val="0"/>
                <w:color w:val="000000"/>
                <w:sz w:val="21"/>
                <w:szCs w:val="21"/>
                <w:lang w:val="en-US" w:eastAsia="zh-CN"/>
              </w:rPr>
              <w:t>年末结转和结余</w:t>
            </w:r>
          </w:p>
        </w:tc>
        <w:tc>
          <w:tcPr>
            <w:tcW w:w="1472" w:type="dxa"/>
            <w:tcBorders>
              <w:tl2br w:val="nil"/>
              <w:tr2bl w:val="nil"/>
            </w:tcBorders>
            <w:noWrap w:val="0"/>
            <w:vAlign w:val="center"/>
          </w:tcPr>
          <w:p>
            <w:pPr>
              <w:jc w:val="right"/>
              <w:rPr>
                <w:sz w:val="21"/>
                <w:szCs w:val="21"/>
                <w:lang w:val="en-US" w:eastAsia="zh-CN"/>
              </w:rPr>
            </w:pPr>
            <w:r>
              <w:rPr>
                <w:rFonts w:ascii="宋体" w:hAnsi="宋体" w:eastAsia="宋体" w:cs="宋体"/>
                <w:b w:val="0"/>
                <w:i w:val="0"/>
                <w:color w:val="000000"/>
                <w:sz w:val="21"/>
                <w:szCs w:val="21"/>
                <w:lang w:val="en-US" w:eastAsia="zh-CN"/>
              </w:rPr>
              <w:t>22.84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总计</w:t>
            </w:r>
          </w:p>
        </w:tc>
        <w:tc>
          <w:tcPr>
            <w:tcW w:w="1480" w:type="dxa"/>
            <w:tcBorders>
              <w:tl2br w:val="nil"/>
              <w:tr2bl w:val="nil"/>
            </w:tcBorders>
            <w:noWrap w:val="0"/>
            <w:vAlign w:val="center"/>
          </w:tcPr>
          <w:p>
            <w:pPr>
              <w:jc w:val="right"/>
              <w:rPr>
                <w:sz w:val="21"/>
                <w:szCs w:val="21"/>
                <w:lang w:val="en-US" w:eastAsia="zh-CN"/>
              </w:rPr>
            </w:pPr>
            <w:r>
              <w:rPr>
                <w:rFonts w:hint="eastAsia" w:ascii="宋体" w:hAnsi="宋体" w:cs="宋体"/>
                <w:b w:val="0"/>
                <w:i w:val="0"/>
                <w:color w:val="000000"/>
                <w:sz w:val="21"/>
                <w:szCs w:val="21"/>
                <w:lang w:val="en-US" w:eastAsia="zh-CN"/>
              </w:rPr>
              <w:t>5,828</w:t>
            </w:r>
            <w:r>
              <w:rPr>
                <w:rFonts w:ascii="宋体" w:hAnsi="宋体" w:eastAsia="宋体" w:cs="宋体"/>
                <w:b w:val="0"/>
                <w:i w:val="0"/>
                <w:color w:val="000000"/>
                <w:sz w:val="21"/>
                <w:szCs w:val="21"/>
                <w:lang w:val="en-US" w:eastAsia="zh-CN"/>
              </w:rPr>
              <w:t>.76</w:t>
            </w:r>
          </w:p>
        </w:tc>
        <w:tc>
          <w:tcPr>
            <w:tcW w:w="2600" w:type="dxa"/>
            <w:tcBorders>
              <w:tl2br w:val="nil"/>
              <w:tr2bl w:val="nil"/>
            </w:tcBorders>
            <w:noWrap w:val="0"/>
            <w:vAlign w:val="center"/>
          </w:tcPr>
          <w:p>
            <w:pPr>
              <w:jc w:val="center"/>
              <w:rPr>
                <w:sz w:val="21"/>
                <w:szCs w:val="21"/>
                <w:lang w:val="en-US" w:eastAsia="zh-CN"/>
              </w:rPr>
            </w:pPr>
            <w:r>
              <w:rPr>
                <w:rFonts w:ascii="宋体" w:hAnsi="宋体" w:eastAsia="宋体" w:cs="宋体"/>
                <w:b w:val="0"/>
                <w:i w:val="0"/>
                <w:color w:val="000000"/>
                <w:sz w:val="21"/>
                <w:szCs w:val="21"/>
                <w:lang w:val="en-US" w:eastAsia="zh-CN"/>
              </w:rPr>
              <w:t>总计</w:t>
            </w:r>
          </w:p>
        </w:tc>
        <w:tc>
          <w:tcPr>
            <w:tcW w:w="1472" w:type="dxa"/>
            <w:tcBorders>
              <w:tl2br w:val="nil"/>
              <w:tr2bl w:val="nil"/>
            </w:tcBorders>
            <w:noWrap w:val="0"/>
            <w:vAlign w:val="center"/>
          </w:tcPr>
          <w:p>
            <w:pPr>
              <w:jc w:val="right"/>
              <w:rPr>
                <w:sz w:val="21"/>
                <w:szCs w:val="21"/>
                <w:lang w:val="en-US" w:eastAsia="zh-CN"/>
              </w:rPr>
            </w:pPr>
            <w:r>
              <w:rPr>
                <w:rFonts w:hint="eastAsia" w:ascii="宋体" w:hAnsi="宋体" w:cs="宋体"/>
                <w:b w:val="0"/>
                <w:i w:val="0"/>
                <w:color w:val="000000"/>
                <w:sz w:val="21"/>
                <w:szCs w:val="21"/>
                <w:lang w:val="en-US" w:eastAsia="zh-CN"/>
              </w:rPr>
              <w:t>5,828</w:t>
            </w:r>
            <w:r>
              <w:rPr>
                <w:rFonts w:ascii="宋体" w:hAnsi="宋体" w:eastAsia="宋体" w:cs="宋体"/>
                <w:b w:val="0"/>
                <w:i w:val="0"/>
                <w:color w:val="000000"/>
                <w:sz w:val="21"/>
                <w:szCs w:val="21"/>
                <w:lang w:val="en-US" w:eastAsia="zh-CN"/>
              </w:rPr>
              <w:t>.76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5" w:hRule="exact"/>
          <w:jc w:val="center"/>
        </w:trPr>
        <w:tc>
          <w:tcPr>
            <w:tcW w:w="2760" w:type="dxa"/>
            <w:gridSpan w:val="4"/>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注：小数点保留两位</w:t>
            </w:r>
          </w:p>
        </w:tc>
      </w:tr>
    </w:tbl>
    <w:p>
      <w:pPr>
        <w:snapToGrid w:val="0"/>
        <w:spacing w:before="0" w:after="0" w:line="0" w:lineRule="auto"/>
        <w:jc w:val="both"/>
        <w:rPr>
          <w:lang w:val="en-US" w:eastAsia="zh-CN"/>
        </w:rPr>
      </w:pPr>
      <w:r>
        <w:rPr>
          <w:sz w:val="8"/>
          <w:lang w:val="en-US" w:eastAsia="zh-CN"/>
        </w:rPr>
        <w:t xml:space="preserve"> </w:t>
      </w:r>
    </w:p>
    <w:p>
      <w:pPr>
        <w:autoSpaceDE w:val="0"/>
        <w:autoSpaceDN w:val="0"/>
        <w:adjustRightInd w:val="0"/>
        <w:jc w:val="both"/>
        <w:rPr>
          <w:rFonts w:ascii="宋体" w:hAnsi="宋体"/>
          <w:szCs w:val="21"/>
          <w:lang w:val="en-US" w:eastAsia="zh-CN"/>
        </w:rPr>
      </w:pPr>
      <w:r>
        <w:rPr>
          <w:rFonts w:hint="eastAsia" w:ascii="宋体" w:hAnsi="宋体"/>
          <w:szCs w:val="21"/>
          <w:lang w:val="en-US" w:eastAsia="zh-CN"/>
        </w:rPr>
        <w:t>注：本表反映单位本年度的总收支和年末结转结余情况。</w:t>
      </w:r>
    </w:p>
    <w:p>
      <w:pPr>
        <w:autoSpaceDE w:val="0"/>
        <w:autoSpaceDN w:val="0"/>
        <w:adjustRightInd w:val="0"/>
        <w:jc w:val="both"/>
        <w:rPr>
          <w:rFonts w:hint="eastAsia" w:ascii="宋体" w:hAnsi="宋体"/>
          <w:szCs w:val="21"/>
          <w:lang w:val="en-US" w:eastAsia="zh-CN"/>
        </w:rPr>
        <w:sectPr>
          <w:headerReference r:id="rId3" w:type="default"/>
          <w:footerReference r:id="rId4" w:type="default"/>
          <w:pgSz w:w="11906" w:h="16838"/>
          <w:pgMar w:top="1440" w:right="1797" w:bottom="1440" w:left="1797" w:header="851" w:footer="992" w:gutter="0"/>
          <w:pgNumType w:fmt="decimal"/>
          <w:cols w:space="720" w:num="1"/>
          <w:docGrid w:type="lines" w:linePitch="312" w:charSpace="0"/>
        </w:sectPr>
      </w:pPr>
      <w:r>
        <w:rPr>
          <w:rFonts w:hint="eastAsia" w:ascii="宋体" w:hAnsi="宋体"/>
          <w:szCs w:val="21"/>
          <w:lang w:val="en-US" w:eastAsia="zh-CN"/>
        </w:rPr>
        <w:t>关于做好2024年度市级部门单位决算集中公开工作的通知</w:t>
      </w:r>
    </w:p>
    <w:p>
      <w:pPr>
        <w:autoSpaceDE w:val="0"/>
        <w:autoSpaceDN w:val="0"/>
        <w:adjustRightInd w:val="0"/>
        <w:jc w:val="center"/>
        <w:outlineLvl w:val="0"/>
        <w:rPr>
          <w:rFonts w:hint="eastAsia" w:ascii="宋体" w:hAnsi="宋体"/>
          <w:szCs w:val="21"/>
          <w:lang w:val="en-US" w:eastAsia="zh-CN"/>
        </w:rPr>
      </w:pPr>
      <w:r>
        <w:rPr>
          <w:rFonts w:hint="eastAsia" w:ascii="宋体" w:hAnsi="宋体"/>
          <w:szCs w:val="21"/>
          <w:lang w:val="en-US" w:eastAsia="zh-CN"/>
        </w:rPr>
        <w:t>收入决算表</w:t>
      </w:r>
    </w:p>
    <w:p>
      <w:pPr>
        <w:autoSpaceDE w:val="0"/>
        <w:autoSpaceDN w:val="0"/>
        <w:adjustRightInd w:val="0"/>
        <w:jc w:val="both"/>
        <w:outlineLvl w:val="0"/>
        <w:rPr>
          <w:rFonts w:ascii="宋体" w:hAnsi="宋体"/>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pPr>
              <w:jc w:val="both"/>
              <w:rPr>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pPr>
              <w:jc w:val="left"/>
              <w:rPr>
                <w:lang w:val="en-US" w:eastAsia="zh-CN"/>
              </w:rPr>
            </w:pPr>
          </w:p>
        </w:tc>
        <w:tc>
          <w:tcPr>
            <w:tcW w:w="2000" w:type="dxa"/>
            <w:tcBorders>
              <w:tl2br w:val="nil"/>
              <w:tr2bl w:val="nil"/>
            </w:tcBorders>
            <w:noWrap w:val="0"/>
            <w:vAlign w:val="top"/>
          </w:tcPr>
          <w:p>
            <w:pPr>
              <w:jc w:val="center"/>
              <w:rPr>
                <w:lang w:val="en-US" w:eastAsia="zh-CN"/>
              </w:rPr>
            </w:pPr>
          </w:p>
        </w:tc>
        <w:tc>
          <w:tcPr>
            <w:tcW w:w="5979" w:type="dxa"/>
            <w:tcBorders>
              <w:tl2br w:val="nil"/>
              <w:tr2bl w:val="nil"/>
            </w:tcBorders>
            <w:noWrap w:val="0"/>
            <w:vAlign w:val="top"/>
          </w:tcPr>
          <w:p>
            <w:pPr>
              <w:jc w:val="right"/>
              <w:rPr>
                <w:lang w:val="en-US" w:eastAsia="zh-CN"/>
              </w:rPr>
            </w:pPr>
            <w:r>
              <w:rPr>
                <w:rFonts w:ascii="宋体" w:hAnsi="宋体" w:eastAsia="宋体" w:cs="宋体"/>
                <w:sz w:val="20"/>
                <w:lang w:val="en-US" w:eastAsia="zh-CN"/>
              </w:rPr>
              <w:t>单位：万元</w:t>
            </w:r>
          </w:p>
        </w:tc>
      </w:tr>
    </w:tbl>
    <w:p>
      <w:pPr>
        <w:snapToGrid w:val="0"/>
        <w:spacing w:before="0" w:after="0" w:line="0" w:lineRule="auto"/>
        <w:jc w:val="both"/>
        <w:rPr>
          <w:lang w:val="en-US" w:eastAsia="zh-CN"/>
        </w:rPr>
      </w:pPr>
      <w:r>
        <w:rPr>
          <w:sz w:val="8"/>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00"/>
        <w:gridCol w:w="300"/>
        <w:gridCol w:w="340"/>
        <w:gridCol w:w="2820"/>
        <w:gridCol w:w="1460"/>
        <w:gridCol w:w="1460"/>
        <w:gridCol w:w="146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4"/>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w:t>
            </w:r>
          </w:p>
        </w:tc>
        <w:tc>
          <w:tcPr>
            <w:tcW w:w="14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本年收入合计</w:t>
            </w:r>
          </w:p>
        </w:tc>
        <w:tc>
          <w:tcPr>
            <w:tcW w:w="14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财政拨款收入</w:t>
            </w:r>
          </w:p>
        </w:tc>
        <w:tc>
          <w:tcPr>
            <w:tcW w:w="14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上级补助收入</w:t>
            </w:r>
          </w:p>
        </w:tc>
        <w:tc>
          <w:tcPr>
            <w:tcW w:w="14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事业收入</w:t>
            </w:r>
          </w:p>
        </w:tc>
        <w:tc>
          <w:tcPr>
            <w:tcW w:w="14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经营收入</w:t>
            </w:r>
          </w:p>
        </w:tc>
        <w:tc>
          <w:tcPr>
            <w:tcW w:w="14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附属单位上缴收入</w:t>
            </w:r>
          </w:p>
        </w:tc>
        <w:tc>
          <w:tcPr>
            <w:tcW w:w="1438"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功能分类科目编码</w:t>
            </w:r>
          </w:p>
        </w:tc>
        <w:tc>
          <w:tcPr>
            <w:tcW w:w="2820" w:type="dxa"/>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科目名称</w:t>
            </w: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38"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8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38"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8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4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4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4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4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4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438"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类</w:t>
            </w:r>
          </w:p>
        </w:tc>
        <w:tc>
          <w:tcPr>
            <w:tcW w:w="3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款</w:t>
            </w:r>
          </w:p>
        </w:tc>
        <w:tc>
          <w:tcPr>
            <w:tcW w:w="34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w:t>
            </w:r>
          </w:p>
        </w:tc>
        <w:tc>
          <w:tcPr>
            <w:tcW w:w="28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eastAsia="宋体" w:cs="宋体"/>
                <w:b w:val="0"/>
                <w:i w:val="0"/>
                <w:color w:val="000000"/>
                <w:sz w:val="21"/>
                <w:szCs w:val="21"/>
                <w:lang w:val="en-US" w:eastAsia="zh-CN"/>
              </w:rPr>
              <w:t>5,805.92</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eastAsia="宋体" w:cs="宋体"/>
                <w:b w:val="0"/>
                <w:i w:val="0"/>
                <w:color w:val="000000"/>
                <w:sz w:val="21"/>
                <w:szCs w:val="21"/>
                <w:lang w:val="en-US" w:eastAsia="zh-CN"/>
              </w:rPr>
              <w:t>5,805.92</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公共安全支出</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cs="宋体"/>
                <w:b w:val="0"/>
                <w:i w:val="0"/>
                <w:color w:val="000000"/>
                <w:sz w:val="21"/>
                <w:szCs w:val="21"/>
                <w:lang w:val="en-US" w:eastAsia="zh-CN"/>
              </w:rPr>
              <w:t>5,525</w:t>
            </w:r>
            <w:r>
              <w:rPr>
                <w:rFonts w:ascii="宋体" w:hAnsi="宋体" w:eastAsia="宋体" w:cs="宋体"/>
                <w:b w:val="0"/>
                <w:i w:val="0"/>
                <w:color w:val="000000"/>
                <w:sz w:val="21"/>
                <w:szCs w:val="21"/>
                <w:lang w:val="en-US" w:eastAsia="zh-CN"/>
              </w:rPr>
              <w:t>.48</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cs="宋体"/>
                <w:b w:val="0"/>
                <w:i w:val="0"/>
                <w:color w:val="000000"/>
                <w:sz w:val="21"/>
                <w:szCs w:val="21"/>
                <w:lang w:val="en-US" w:eastAsia="zh-CN"/>
              </w:rPr>
              <w:t>5,525</w:t>
            </w:r>
            <w:r>
              <w:rPr>
                <w:rFonts w:ascii="宋体" w:hAnsi="宋体" w:eastAsia="宋体" w:cs="宋体"/>
                <w:b w:val="0"/>
                <w:i w:val="0"/>
                <w:color w:val="000000"/>
                <w:sz w:val="21"/>
                <w:szCs w:val="21"/>
                <w:lang w:val="en-US" w:eastAsia="zh-CN"/>
              </w:rPr>
              <w:t>.48</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公安</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cs="宋体"/>
                <w:b w:val="0"/>
                <w:i w:val="0"/>
                <w:color w:val="000000"/>
                <w:sz w:val="21"/>
                <w:szCs w:val="21"/>
                <w:lang w:val="en-US" w:eastAsia="zh-CN"/>
              </w:rPr>
              <w:t>5,525</w:t>
            </w:r>
            <w:r>
              <w:rPr>
                <w:rFonts w:ascii="宋体" w:hAnsi="宋体" w:eastAsia="宋体" w:cs="宋体"/>
                <w:b w:val="0"/>
                <w:i w:val="0"/>
                <w:color w:val="000000"/>
                <w:sz w:val="21"/>
                <w:szCs w:val="21"/>
                <w:lang w:val="en-US" w:eastAsia="zh-CN"/>
              </w:rPr>
              <w:t>.48</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cs="宋体"/>
                <w:b w:val="0"/>
                <w:i w:val="0"/>
                <w:color w:val="000000"/>
                <w:sz w:val="21"/>
                <w:szCs w:val="21"/>
                <w:lang w:val="en-US" w:eastAsia="zh-CN"/>
              </w:rPr>
              <w:t>5,525</w:t>
            </w:r>
            <w:r>
              <w:rPr>
                <w:rFonts w:ascii="宋体" w:hAnsi="宋体" w:eastAsia="宋体" w:cs="宋体"/>
                <w:b w:val="0"/>
                <w:i w:val="0"/>
                <w:color w:val="000000"/>
                <w:sz w:val="21"/>
                <w:szCs w:val="21"/>
                <w:lang w:val="en-US" w:eastAsia="zh-CN"/>
              </w:rPr>
              <w:t>.48</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2040201</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行政运行</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2040299</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其他公安支出</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社会保障和就业支出</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20805</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行政事业单位养老支出</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2080501</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行政单位离退休</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22999</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3" w:hRule="exact"/>
          <w:jc w:val="center"/>
        </w:trPr>
        <w:tc>
          <w:tcPr>
            <w:tcW w:w="30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2299999</w:t>
            </w:r>
          </w:p>
        </w:tc>
        <w:tc>
          <w:tcPr>
            <w:tcW w:w="282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43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p>
      <w:pPr>
        <w:autoSpaceDE w:val="0"/>
        <w:autoSpaceDN w:val="0"/>
        <w:adjustRightInd w:val="0"/>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注：本表反映单位本年度取得的各项收入情况。</w:t>
      </w:r>
    </w:p>
    <w:p>
      <w:pPr>
        <w:autoSpaceDE w:val="0"/>
        <w:autoSpaceDN w:val="0"/>
        <w:adjustRightInd w:val="0"/>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br w:type="page"/>
      </w:r>
      <w:r>
        <w:rPr>
          <w:rFonts w:hint="eastAsia" w:asciiTheme="majorEastAsia" w:hAnsiTheme="majorEastAsia" w:eastAsiaTheme="majorEastAsia" w:cstheme="majorEastAsia"/>
          <w:sz w:val="21"/>
          <w:szCs w:val="21"/>
          <w:lang w:val="en-US" w:eastAsia="zh-CN"/>
        </w:rPr>
        <w:t>支出决算表</w:t>
      </w:r>
    </w:p>
    <w:p>
      <w:pPr>
        <w:autoSpaceDE w:val="0"/>
        <w:autoSpaceDN w:val="0"/>
        <w:adjustRightInd w:val="0"/>
        <w:jc w:val="both"/>
        <w:outlineLvl w:val="0"/>
        <w:rPr>
          <w:rFonts w:hint="eastAsia" w:asciiTheme="majorEastAsia" w:hAnsiTheme="majorEastAsia" w:eastAsiaTheme="majorEastAsia" w:cstheme="majorEastAsia"/>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pPr>
              <w:jc w:val="both"/>
              <w:rPr>
                <w:rFonts w:hint="eastAsia" w:asciiTheme="majorEastAsia" w:hAnsiTheme="majorEastAsia" w:eastAsiaTheme="majorEastAsia" w:cstheme="majorEastAsia"/>
                <w:sz w:val="21"/>
                <w:szCs w:val="21"/>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pPr>
              <w:jc w:val="left"/>
              <w:rPr>
                <w:rFonts w:hint="eastAsia" w:asciiTheme="majorEastAsia" w:hAnsiTheme="majorEastAsia" w:eastAsiaTheme="majorEastAsia" w:cstheme="majorEastAsia"/>
                <w:sz w:val="21"/>
                <w:szCs w:val="21"/>
                <w:lang w:val="en-US" w:eastAsia="zh-CN"/>
              </w:rPr>
            </w:pPr>
          </w:p>
        </w:tc>
        <w:tc>
          <w:tcPr>
            <w:tcW w:w="2000" w:type="dxa"/>
            <w:tcBorders>
              <w:tl2br w:val="nil"/>
              <w:tr2bl w:val="nil"/>
            </w:tcBorders>
            <w:noWrap w:val="0"/>
            <w:vAlign w:val="top"/>
          </w:tcPr>
          <w:p>
            <w:pPr>
              <w:jc w:val="center"/>
              <w:rPr>
                <w:rFonts w:hint="eastAsia" w:asciiTheme="majorEastAsia" w:hAnsiTheme="majorEastAsia" w:eastAsiaTheme="majorEastAsia" w:cstheme="majorEastAsia"/>
                <w:sz w:val="21"/>
                <w:szCs w:val="21"/>
                <w:lang w:val="en-US" w:eastAsia="zh-CN"/>
              </w:rPr>
            </w:pPr>
          </w:p>
        </w:tc>
        <w:tc>
          <w:tcPr>
            <w:tcW w:w="5979" w:type="dxa"/>
            <w:tcBorders>
              <w:tl2br w:val="nil"/>
              <w:tr2bl w:val="nil"/>
            </w:tcBorders>
            <w:noWrap w:val="0"/>
            <w:vAlign w:val="top"/>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单位：万元</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380"/>
        <w:gridCol w:w="320"/>
        <w:gridCol w:w="3140"/>
        <w:gridCol w:w="1620"/>
        <w:gridCol w:w="1620"/>
        <w:gridCol w:w="1620"/>
        <w:gridCol w:w="1620"/>
        <w:gridCol w:w="1620"/>
        <w:gridCol w:w="165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4"/>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w:t>
            </w:r>
          </w:p>
        </w:tc>
        <w:tc>
          <w:tcPr>
            <w:tcW w:w="162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本年支出合计</w:t>
            </w:r>
          </w:p>
        </w:tc>
        <w:tc>
          <w:tcPr>
            <w:tcW w:w="162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基本支出</w:t>
            </w:r>
          </w:p>
        </w:tc>
        <w:tc>
          <w:tcPr>
            <w:tcW w:w="162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项目支出</w:t>
            </w:r>
          </w:p>
        </w:tc>
        <w:tc>
          <w:tcPr>
            <w:tcW w:w="162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上缴上级支出</w:t>
            </w:r>
          </w:p>
        </w:tc>
        <w:tc>
          <w:tcPr>
            <w:tcW w:w="162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经营支出</w:t>
            </w:r>
          </w:p>
        </w:tc>
        <w:tc>
          <w:tcPr>
            <w:tcW w:w="1658"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功能分类科目编码</w:t>
            </w:r>
          </w:p>
        </w:tc>
        <w:tc>
          <w:tcPr>
            <w:tcW w:w="3140" w:type="dxa"/>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科目名称</w:t>
            </w: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58"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314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58"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1" w:hRule="exact"/>
          <w:jc w:val="center"/>
        </w:trPr>
        <w:tc>
          <w:tcPr>
            <w:tcW w:w="360" w:type="dxa"/>
            <w:gridSpan w:val="3"/>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314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6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6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6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6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658"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类</w:t>
            </w:r>
          </w:p>
        </w:tc>
        <w:tc>
          <w:tcPr>
            <w:tcW w:w="38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款</w:t>
            </w:r>
          </w:p>
        </w:tc>
        <w:tc>
          <w:tcPr>
            <w:tcW w:w="3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w:t>
            </w:r>
          </w:p>
        </w:tc>
        <w:tc>
          <w:tcPr>
            <w:tcW w:w="314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eastAsia="宋体" w:cs="宋体"/>
                <w:b w:val="0"/>
                <w:i w:val="0"/>
                <w:color w:val="000000"/>
                <w:sz w:val="21"/>
                <w:szCs w:val="21"/>
                <w:lang w:val="en-US" w:eastAsia="zh-CN"/>
              </w:rPr>
              <w:t>5,805.92</w:t>
            </w:r>
          </w:p>
        </w:tc>
        <w:tc>
          <w:tcPr>
            <w:tcW w:w="1620" w:type="dxa"/>
            <w:tcBorders>
              <w:tl2br w:val="nil"/>
              <w:tr2bl w:val="nil"/>
            </w:tcBorders>
            <w:noWrap w:val="0"/>
            <w:vAlign w:val="center"/>
          </w:tcPr>
          <w:p>
            <w:pPr>
              <w:jc w:val="righ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1,628.25</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4,177.67</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公共安全支出</w:t>
            </w:r>
          </w:p>
        </w:tc>
        <w:tc>
          <w:tcPr>
            <w:tcW w:w="1620" w:type="dxa"/>
            <w:tcBorders>
              <w:tl2br w:val="nil"/>
              <w:tr2bl w:val="nil"/>
            </w:tcBorders>
            <w:noWrap w:val="0"/>
            <w:vAlign w:val="center"/>
          </w:tcPr>
          <w:p>
            <w:pPr>
              <w:jc w:val="righ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5,525.48</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公安</w:t>
            </w:r>
          </w:p>
        </w:tc>
        <w:tc>
          <w:tcPr>
            <w:tcW w:w="1620" w:type="dxa"/>
            <w:tcBorders>
              <w:tl2br w:val="nil"/>
              <w:tr2bl w:val="nil"/>
            </w:tcBorders>
            <w:noWrap w:val="0"/>
            <w:vAlign w:val="center"/>
          </w:tcPr>
          <w:p>
            <w:pPr>
              <w:jc w:val="righ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5,525.48</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2040201</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行政运行</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2040299</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其他公安支出</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社会保障和就业支出</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20805</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行政事业单位养老支出</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2080501</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行政单位离退休</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22999</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1" w:hRule="exact"/>
          <w:jc w:val="center"/>
        </w:trPr>
        <w:tc>
          <w:tcPr>
            <w:tcW w:w="36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2299999</w:t>
            </w:r>
          </w:p>
        </w:tc>
        <w:tc>
          <w:tcPr>
            <w:tcW w:w="31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2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65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p>
      <w:pPr>
        <w:autoSpaceDE w:val="0"/>
        <w:autoSpaceDN w:val="0"/>
        <w:adjustRightInd w:val="0"/>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注：本表反映单位本年度各项支出情况。</w:t>
      </w:r>
    </w:p>
    <w:p>
      <w:pPr>
        <w:autoSpaceDE w:val="0"/>
        <w:autoSpaceDN w:val="0"/>
        <w:adjustRightInd w:val="0"/>
        <w:ind w:right="525"/>
        <w:jc w:val="both"/>
        <w:rPr>
          <w:rFonts w:hint="eastAsia" w:asciiTheme="majorEastAsia" w:hAnsiTheme="majorEastAsia" w:eastAsiaTheme="majorEastAsia" w:cstheme="majorEastAsia"/>
          <w:b/>
          <w:sz w:val="21"/>
          <w:szCs w:val="21"/>
          <w:lang w:val="en-US" w:eastAsia="zh-CN"/>
        </w:rPr>
        <w:sectPr>
          <w:pgSz w:w="16838" w:h="11906" w:orient="landscape"/>
          <w:pgMar w:top="1797" w:right="1440" w:bottom="1797" w:left="1440" w:header="851" w:footer="992" w:gutter="0"/>
          <w:pgNumType w:fmt="decimal"/>
          <w:cols w:space="720" w:num="1"/>
          <w:docGrid w:type="linesAndChars" w:linePitch="312" w:charSpace="0"/>
        </w:sectPr>
      </w:pPr>
    </w:p>
    <w:p>
      <w:pPr>
        <w:autoSpaceDE w:val="0"/>
        <w:autoSpaceDN w:val="0"/>
        <w:adjustRightInd w:val="0"/>
        <w:jc w:val="center"/>
        <w:outlineLvl w:val="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财政拨款收入支出决算总表</w:t>
      </w:r>
    </w:p>
    <w:p>
      <w:pPr>
        <w:autoSpaceDE w:val="0"/>
        <w:autoSpaceDN w:val="0"/>
        <w:adjustRightInd w:val="0"/>
        <w:jc w:val="both"/>
        <w:outlineLvl w:val="0"/>
        <w:rPr>
          <w:rFonts w:hint="eastAsia" w:asciiTheme="majorEastAsia" w:hAnsiTheme="majorEastAsia" w:eastAsiaTheme="majorEastAsia" w:cstheme="majorEastAsia"/>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pPr>
              <w:jc w:val="both"/>
              <w:rPr>
                <w:rFonts w:hint="eastAsia" w:asciiTheme="majorEastAsia" w:hAnsiTheme="majorEastAsia" w:eastAsiaTheme="majorEastAsia" w:cstheme="majorEastAsia"/>
                <w:sz w:val="21"/>
                <w:szCs w:val="21"/>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pPr>
              <w:jc w:val="left"/>
              <w:rPr>
                <w:rFonts w:hint="eastAsia" w:asciiTheme="majorEastAsia" w:hAnsiTheme="majorEastAsia" w:eastAsiaTheme="majorEastAsia" w:cstheme="majorEastAsia"/>
                <w:sz w:val="21"/>
                <w:szCs w:val="21"/>
                <w:lang w:val="en-US" w:eastAsia="zh-CN"/>
              </w:rPr>
            </w:pPr>
          </w:p>
        </w:tc>
        <w:tc>
          <w:tcPr>
            <w:tcW w:w="2000" w:type="dxa"/>
            <w:tcBorders>
              <w:tl2br w:val="nil"/>
              <w:tr2bl w:val="nil"/>
            </w:tcBorders>
            <w:noWrap w:val="0"/>
            <w:vAlign w:val="top"/>
          </w:tcPr>
          <w:p>
            <w:pPr>
              <w:jc w:val="center"/>
              <w:rPr>
                <w:rFonts w:hint="eastAsia" w:asciiTheme="majorEastAsia" w:hAnsiTheme="majorEastAsia" w:eastAsiaTheme="majorEastAsia" w:cstheme="majorEastAsia"/>
                <w:sz w:val="21"/>
                <w:szCs w:val="21"/>
                <w:lang w:val="en-US" w:eastAsia="zh-CN"/>
              </w:rPr>
            </w:pPr>
          </w:p>
        </w:tc>
        <w:tc>
          <w:tcPr>
            <w:tcW w:w="5979" w:type="dxa"/>
            <w:tcBorders>
              <w:tl2br w:val="nil"/>
              <w:tr2bl w:val="nil"/>
            </w:tcBorders>
            <w:noWrap w:val="0"/>
            <w:vAlign w:val="top"/>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单位：万元</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60"/>
        <w:gridCol w:w="1540"/>
        <w:gridCol w:w="2900"/>
        <w:gridCol w:w="1540"/>
        <w:gridCol w:w="1760"/>
        <w:gridCol w:w="1760"/>
        <w:gridCol w:w="17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gridSpan w:val="2"/>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收入决算数</w:t>
            </w:r>
          </w:p>
        </w:tc>
        <w:tc>
          <w:tcPr>
            <w:tcW w:w="2900" w:type="dxa"/>
            <w:gridSpan w:val="5"/>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支出决算数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24" w:hRule="exact"/>
          <w:jc w:val="center"/>
        </w:trPr>
        <w:tc>
          <w:tcPr>
            <w:tcW w:w="26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w:t>
            </w:r>
          </w:p>
        </w:tc>
        <w:tc>
          <w:tcPr>
            <w:tcW w:w="154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29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w:t>
            </w:r>
          </w:p>
        </w:tc>
        <w:tc>
          <w:tcPr>
            <w:tcW w:w="154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7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一般公共预算财政拨款</w:t>
            </w:r>
          </w:p>
        </w:tc>
        <w:tc>
          <w:tcPr>
            <w:tcW w:w="17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政府性基金预算财政拨款</w:t>
            </w:r>
          </w:p>
        </w:tc>
        <w:tc>
          <w:tcPr>
            <w:tcW w:w="1798"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一、一般公共预算财政拨款</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eastAsia="宋体" w:cs="宋体"/>
                <w:b w:val="0"/>
                <w:i w:val="0"/>
                <w:color w:val="000000"/>
                <w:sz w:val="21"/>
                <w:szCs w:val="21"/>
                <w:lang w:val="en-US" w:eastAsia="zh-CN"/>
              </w:rPr>
              <w:t>5,805.92</w:t>
            </w: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一、一般公共服务支出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二、政府性基金预算财政拨款</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二、外交支出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三、国有资本经营预算财政拨款</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三、国防支出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四、公共安全支出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5,525.48</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5,525.48</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五、教育支出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六、科学技术支出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七、文化旅游体育与传媒支出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八、社会保障和就业支出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九、卫生健康支出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十、节能环保支出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十一、城乡社区支出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十二、农林水支出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十三、交通运输支出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十四、资源勘探工业信息等支出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十五、商业服务业等支出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十六、金融支出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十七、援助其他地区支出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十八、自然资源海洋气象等支出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十九、住房保障支出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二十、粮油物资储备支出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二十一、国有资本经营预算支出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二十二、灾害防治及应急管理支出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二十三、其他支出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二十四、抗疫特别国债安排的支出</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本年收入合计</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eastAsia="宋体" w:cs="宋体"/>
                <w:b w:val="0"/>
                <w:i w:val="0"/>
                <w:color w:val="000000"/>
                <w:sz w:val="21"/>
                <w:szCs w:val="21"/>
                <w:lang w:val="en-US" w:eastAsia="zh-CN"/>
              </w:rPr>
              <w:t>5,805.92</w:t>
            </w:r>
          </w:p>
        </w:tc>
        <w:tc>
          <w:tcPr>
            <w:tcW w:w="29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本年支出合计</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eastAsia="宋体" w:cs="宋体"/>
                <w:b w:val="0"/>
                <w:i w:val="0"/>
                <w:color w:val="000000"/>
                <w:sz w:val="21"/>
                <w:szCs w:val="21"/>
                <w:lang w:val="en-US" w:eastAsia="zh-CN"/>
              </w:rPr>
              <w:t>5,805.92</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宋体" w:hAnsi="宋体" w:eastAsia="宋体" w:cs="宋体"/>
                <w:b w:val="0"/>
                <w:i w:val="0"/>
                <w:color w:val="000000"/>
                <w:sz w:val="21"/>
                <w:szCs w:val="21"/>
                <w:lang w:val="en-US" w:eastAsia="zh-CN"/>
              </w:rPr>
              <w:t>5,805.92</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年初财政拨款结转和结余</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22.84</w:t>
            </w:r>
          </w:p>
        </w:tc>
        <w:tc>
          <w:tcPr>
            <w:tcW w:w="290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年末财政拨款结转和结余</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22.84</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22.84</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一、一般公共预算财政拨款</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22.84</w:t>
            </w:r>
          </w:p>
        </w:tc>
        <w:tc>
          <w:tcPr>
            <w:tcW w:w="29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二、政府性基金预算财政拨款</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三、国有资本经营预算财政拨款</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29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53" w:hRule="exact"/>
          <w:jc w:val="center"/>
        </w:trPr>
        <w:tc>
          <w:tcPr>
            <w:tcW w:w="26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总计</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5,828.76</w:t>
            </w:r>
          </w:p>
        </w:tc>
        <w:tc>
          <w:tcPr>
            <w:tcW w:w="29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总计</w:t>
            </w:r>
          </w:p>
        </w:tc>
        <w:tc>
          <w:tcPr>
            <w:tcW w:w="154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5,828.76</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5,828.76</w:t>
            </w:r>
          </w:p>
        </w:tc>
        <w:tc>
          <w:tcPr>
            <w:tcW w:w="17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7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p>
      <w:pPr>
        <w:autoSpaceDE w:val="0"/>
        <w:autoSpaceDN w:val="0"/>
        <w:adjustRightInd w:val="0"/>
        <w:jc w:val="both"/>
        <w:rPr>
          <w:rFonts w:hint="eastAsia" w:asciiTheme="majorEastAsia" w:hAnsiTheme="majorEastAsia" w:eastAsiaTheme="majorEastAsia" w:cstheme="majorEastAsia"/>
          <w:sz w:val="21"/>
          <w:szCs w:val="21"/>
          <w:lang w:val="en-US" w:eastAsia="zh-CN"/>
        </w:rPr>
        <w:sectPr>
          <w:pgSz w:w="16838" w:h="11906" w:orient="landscape"/>
          <w:pgMar w:top="1797" w:right="1440" w:bottom="1797" w:left="1440" w:header="851" w:footer="992" w:gutter="0"/>
          <w:pgNumType w:fmt="decimal"/>
          <w:cols w:space="720" w:num="1"/>
          <w:docGrid w:linePitch="312" w:charSpace="0"/>
        </w:sectPr>
      </w:pPr>
      <w:r>
        <w:rPr>
          <w:rFonts w:hint="eastAsia" w:asciiTheme="majorEastAsia" w:hAnsiTheme="majorEastAsia" w:eastAsiaTheme="majorEastAsia" w:cstheme="majorEastAsia"/>
          <w:sz w:val="21"/>
          <w:szCs w:val="21"/>
          <w:lang w:val="en-US" w:eastAsia="zh-CN"/>
        </w:rPr>
        <w:t>注：本表反映单位本年度财政拨款总收支和结转结余情况。</w:t>
      </w:r>
    </w:p>
    <w:p>
      <w:pPr>
        <w:autoSpaceDE w:val="0"/>
        <w:autoSpaceDN w:val="0"/>
        <w:adjustRightInd w:val="0"/>
        <w:jc w:val="center"/>
        <w:outlineLvl w:val="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一般公共预算财政拨款支出决算表</w:t>
      </w:r>
    </w:p>
    <w:p>
      <w:pPr>
        <w:autoSpaceDE w:val="0"/>
        <w:autoSpaceDN w:val="0"/>
        <w:adjustRightInd w:val="0"/>
        <w:jc w:val="both"/>
        <w:outlineLvl w:val="0"/>
        <w:rPr>
          <w:rFonts w:hint="eastAsia" w:asciiTheme="majorEastAsia" w:hAnsiTheme="majorEastAsia" w:eastAsiaTheme="majorEastAsia" w:cstheme="majorEastAsia"/>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6"/>
        <w:gridCol w:w="2000"/>
        <w:gridCol w:w="3156"/>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6" w:type="dxa"/>
            <w:gridSpan w:val="3"/>
            <w:noWrap w:val="0"/>
            <w:vAlign w:val="top"/>
          </w:tcPr>
          <w:p>
            <w:pPr>
              <w:jc w:val="both"/>
              <w:rPr>
                <w:rFonts w:hint="eastAsia" w:asciiTheme="majorEastAsia" w:hAnsiTheme="majorEastAsia" w:eastAsiaTheme="majorEastAsia" w:cstheme="majorEastAsia"/>
                <w:sz w:val="21"/>
                <w:szCs w:val="21"/>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6" w:type="dxa"/>
            <w:tcBorders>
              <w:tl2br w:val="nil"/>
              <w:tr2bl w:val="nil"/>
            </w:tcBorders>
            <w:noWrap w:val="0"/>
            <w:vAlign w:val="top"/>
          </w:tcPr>
          <w:p>
            <w:pPr>
              <w:jc w:val="left"/>
              <w:rPr>
                <w:rFonts w:hint="eastAsia" w:asciiTheme="majorEastAsia" w:hAnsiTheme="majorEastAsia" w:eastAsiaTheme="majorEastAsia" w:cstheme="majorEastAsia"/>
                <w:sz w:val="21"/>
                <w:szCs w:val="21"/>
                <w:lang w:val="en-US" w:eastAsia="zh-CN"/>
              </w:rPr>
            </w:pPr>
          </w:p>
        </w:tc>
        <w:tc>
          <w:tcPr>
            <w:tcW w:w="2000" w:type="dxa"/>
            <w:tcBorders>
              <w:tl2br w:val="nil"/>
              <w:tr2bl w:val="nil"/>
            </w:tcBorders>
            <w:noWrap w:val="0"/>
            <w:vAlign w:val="top"/>
          </w:tcPr>
          <w:p>
            <w:pPr>
              <w:jc w:val="center"/>
              <w:rPr>
                <w:rFonts w:hint="eastAsia" w:asciiTheme="majorEastAsia" w:hAnsiTheme="majorEastAsia" w:eastAsiaTheme="majorEastAsia" w:cstheme="majorEastAsia"/>
                <w:sz w:val="21"/>
                <w:szCs w:val="21"/>
                <w:lang w:val="en-US" w:eastAsia="zh-CN"/>
              </w:rPr>
            </w:pPr>
          </w:p>
        </w:tc>
        <w:tc>
          <w:tcPr>
            <w:tcW w:w="3156" w:type="dxa"/>
            <w:tcBorders>
              <w:tl2br w:val="nil"/>
              <w:tr2bl w:val="nil"/>
            </w:tcBorders>
            <w:noWrap w:val="0"/>
            <w:vAlign w:val="top"/>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单位：万元</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80"/>
        <w:gridCol w:w="380"/>
        <w:gridCol w:w="380"/>
        <w:gridCol w:w="2640"/>
        <w:gridCol w:w="1500"/>
        <w:gridCol w:w="1500"/>
        <w:gridCol w:w="153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4"/>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    目</w:t>
            </w:r>
          </w:p>
        </w:tc>
        <w:tc>
          <w:tcPr>
            <w:tcW w:w="1500" w:type="dxa"/>
            <w:gridSpan w:val="3"/>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一般公共预算财政拨款支出决算数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709" w:hRule="exact"/>
          <w:jc w:val="center"/>
        </w:trPr>
        <w:tc>
          <w:tcPr>
            <w:tcW w:w="380" w:type="dxa"/>
            <w:gridSpan w:val="3"/>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功能分类科目编码</w:t>
            </w:r>
          </w:p>
        </w:tc>
        <w:tc>
          <w:tcPr>
            <w:tcW w:w="2640" w:type="dxa"/>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科目名称</w:t>
            </w:r>
          </w:p>
        </w:tc>
        <w:tc>
          <w:tcPr>
            <w:tcW w:w="1500" w:type="dxa"/>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500" w:type="dxa"/>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基本支出</w:t>
            </w:r>
          </w:p>
        </w:tc>
        <w:tc>
          <w:tcPr>
            <w:tcW w:w="1532" w:type="dxa"/>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类</w:t>
            </w:r>
          </w:p>
        </w:tc>
        <w:tc>
          <w:tcPr>
            <w:tcW w:w="38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款</w:t>
            </w:r>
          </w:p>
        </w:tc>
        <w:tc>
          <w:tcPr>
            <w:tcW w:w="38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w:t>
            </w:r>
          </w:p>
        </w:tc>
        <w:tc>
          <w:tcPr>
            <w:tcW w:w="264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0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0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32"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公共安全支出</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5,525.48</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公安</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5,525.48</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2040201</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行政运行</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1,605.05</w:t>
            </w: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2040299</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其他公安支出</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3,920.43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社会保障和就业支出</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20805</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行政事业单位养老支出</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2080501</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行政单位离退休</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23.20</w:t>
            </w: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22999</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3"/>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2299999</w:t>
            </w:r>
          </w:p>
        </w:tc>
        <w:tc>
          <w:tcPr>
            <w:tcW w:w="264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其他支出</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4"/>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5,805.92</w:t>
            </w:r>
          </w:p>
        </w:tc>
        <w:tc>
          <w:tcPr>
            <w:tcW w:w="150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1,628.25</w:t>
            </w:r>
          </w:p>
        </w:tc>
        <w:tc>
          <w:tcPr>
            <w:tcW w:w="153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4,177.67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2" w:hRule="exact"/>
          <w:jc w:val="center"/>
        </w:trPr>
        <w:tc>
          <w:tcPr>
            <w:tcW w:w="380" w:type="dxa"/>
            <w:gridSpan w:val="7"/>
            <w:tcBorders>
              <w:left w:val="single" w:color="FFFFFF" w:sz="4" w:space="0"/>
              <w:bottom w:val="single" w:color="FFFFFF" w:sz="4" w:space="0"/>
              <w:right w:val="single" w:color="FFFFFF" w:sz="4" w:space="0"/>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注:小数点保留两位</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p>
      <w:pPr>
        <w:autoSpaceDE w:val="0"/>
        <w:autoSpaceDN w:val="0"/>
        <w:adjustRightInd w:val="0"/>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注：本表反映单位本年度一般公共预算财政拨款支出情况。</w:t>
      </w:r>
    </w:p>
    <w:p>
      <w:pPr>
        <w:autoSpaceDE w:val="0"/>
        <w:autoSpaceDN w:val="0"/>
        <w:adjustRightInd w:val="0"/>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br w:type="page"/>
      </w:r>
      <w:r>
        <w:rPr>
          <w:rFonts w:hint="eastAsia" w:asciiTheme="majorEastAsia" w:hAnsiTheme="majorEastAsia" w:eastAsiaTheme="majorEastAsia" w:cstheme="majorEastAsia"/>
          <w:sz w:val="21"/>
          <w:szCs w:val="21"/>
          <w:lang w:val="en-US" w:eastAsia="zh-CN"/>
        </w:rPr>
        <w:t>一般公共预算财政拨款基本支出决算表</w:t>
      </w:r>
    </w:p>
    <w:p>
      <w:pPr>
        <w:jc w:val="both"/>
        <w:rPr>
          <w:rFonts w:hint="eastAsia" w:asciiTheme="majorEastAsia" w:hAnsiTheme="majorEastAsia" w:eastAsiaTheme="majorEastAsia" w:cstheme="majorEastAsia"/>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6"/>
        <w:gridCol w:w="2000"/>
        <w:gridCol w:w="3156"/>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6" w:type="dxa"/>
            <w:gridSpan w:val="3"/>
            <w:noWrap w:val="0"/>
            <w:vAlign w:val="top"/>
          </w:tcPr>
          <w:p>
            <w:pPr>
              <w:jc w:val="both"/>
              <w:rPr>
                <w:rFonts w:hint="eastAsia" w:asciiTheme="majorEastAsia" w:hAnsiTheme="majorEastAsia" w:eastAsiaTheme="majorEastAsia" w:cstheme="majorEastAsia"/>
                <w:sz w:val="21"/>
                <w:szCs w:val="21"/>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6" w:type="dxa"/>
            <w:tcBorders>
              <w:tl2br w:val="nil"/>
              <w:tr2bl w:val="nil"/>
            </w:tcBorders>
            <w:noWrap w:val="0"/>
            <w:vAlign w:val="top"/>
          </w:tcPr>
          <w:p>
            <w:pPr>
              <w:jc w:val="left"/>
              <w:rPr>
                <w:rFonts w:hint="eastAsia" w:asciiTheme="majorEastAsia" w:hAnsiTheme="majorEastAsia" w:eastAsiaTheme="majorEastAsia" w:cstheme="majorEastAsia"/>
                <w:sz w:val="21"/>
                <w:szCs w:val="21"/>
                <w:lang w:val="en-US" w:eastAsia="zh-CN"/>
              </w:rPr>
            </w:pPr>
          </w:p>
        </w:tc>
        <w:tc>
          <w:tcPr>
            <w:tcW w:w="2000" w:type="dxa"/>
            <w:tcBorders>
              <w:tl2br w:val="nil"/>
              <w:tr2bl w:val="nil"/>
            </w:tcBorders>
            <w:noWrap w:val="0"/>
            <w:vAlign w:val="top"/>
          </w:tcPr>
          <w:p>
            <w:pPr>
              <w:jc w:val="center"/>
              <w:rPr>
                <w:rFonts w:hint="eastAsia" w:asciiTheme="majorEastAsia" w:hAnsiTheme="majorEastAsia" w:eastAsiaTheme="majorEastAsia" w:cstheme="majorEastAsia"/>
                <w:sz w:val="21"/>
                <w:szCs w:val="21"/>
                <w:lang w:val="en-US" w:eastAsia="zh-CN"/>
              </w:rPr>
            </w:pPr>
          </w:p>
        </w:tc>
        <w:tc>
          <w:tcPr>
            <w:tcW w:w="3156" w:type="dxa"/>
            <w:tcBorders>
              <w:tl2br w:val="nil"/>
              <w:tr2bl w:val="nil"/>
            </w:tcBorders>
            <w:noWrap w:val="0"/>
            <w:vAlign w:val="top"/>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单位：万元</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00"/>
        <w:gridCol w:w="400"/>
        <w:gridCol w:w="2080"/>
        <w:gridCol w:w="1280"/>
        <w:gridCol w:w="400"/>
        <w:gridCol w:w="400"/>
        <w:gridCol w:w="2080"/>
        <w:gridCol w:w="12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829" w:hRule="exact"/>
          <w:jc w:val="center"/>
        </w:trPr>
        <w:tc>
          <w:tcPr>
            <w:tcW w:w="400" w:type="dxa"/>
            <w:gridSpan w:val="2"/>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经济分类科目编码</w:t>
            </w:r>
          </w:p>
        </w:tc>
        <w:tc>
          <w:tcPr>
            <w:tcW w:w="208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科目名称</w:t>
            </w:r>
          </w:p>
        </w:tc>
        <w:tc>
          <w:tcPr>
            <w:tcW w:w="128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400" w:type="dxa"/>
            <w:gridSpan w:val="2"/>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经济分类科目编码</w:t>
            </w:r>
          </w:p>
        </w:tc>
        <w:tc>
          <w:tcPr>
            <w:tcW w:w="208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科目名称</w:t>
            </w:r>
          </w:p>
        </w:tc>
        <w:tc>
          <w:tcPr>
            <w:tcW w:w="1272"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类</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款</w:t>
            </w:r>
          </w:p>
        </w:tc>
        <w:tc>
          <w:tcPr>
            <w:tcW w:w="208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类</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款</w:t>
            </w:r>
          </w:p>
        </w:tc>
        <w:tc>
          <w:tcPr>
            <w:tcW w:w="208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72"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工资福利支出</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商品和服务支出</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1,628.25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基本工资</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办公费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59.41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02</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津贴补贴</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02</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印刷费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40.96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03</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奖金</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03</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咨询费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06</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伙食补助费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04</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手续费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07</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绩效工资</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05</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水费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20.42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08</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机关事业单位基本养老保险缴费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06</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电费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128.64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职业年金缴费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07</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邮电费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11.08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10</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职工基本医疗保险缴费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08</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取暖费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公务员医疗补助缴费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物业管理费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691.38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12</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其他社会保障缴费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差旅费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19.73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13</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住房公积金</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12</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因公出国（境）费用 </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52.25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14</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医疗费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13</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维修（护）费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23.85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301</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99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其他工资福利支出</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14</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租赁费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197.34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对个人和家庭的补助</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15</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会议费</w:t>
            </w:r>
          </w:p>
        </w:tc>
        <w:tc>
          <w:tcPr>
            <w:tcW w:w="1272" w:type="dxa"/>
            <w:tcBorders>
              <w:tl2br w:val="nil"/>
              <w:tr2bl w:val="nil"/>
            </w:tcBorders>
            <w:noWrap w:val="0"/>
            <w:vAlign w:val="center"/>
          </w:tcPr>
          <w:p>
            <w:pPr>
              <w:jc w:val="righ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27.72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离休费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培训费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02</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退休费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17</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公务接待费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13.69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03</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退职（役）费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18</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专用材料费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04</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抚恤金</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24</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被装购置费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05</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生活补助</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25</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专用燃料费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06</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救济费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26</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劳务费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07</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医疗费补助</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27</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委托业务费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08</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助学金</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28</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工会经费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102.04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奖励金</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福利费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65.53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10</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个人农业生产补贴</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公务用车运行维护费</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28.94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代缴社会保险费</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其他交通费用</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105.36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303</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99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其他对个人和家庭的补助</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40</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税金及附加费用</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302</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99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其他商品和服务支出</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38.01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资本性支出</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房屋建筑物购建</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02</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办公设备购置</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03</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专用设备购置</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07</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信息网络及软件购置更新</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13</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公务用车购置</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其他交通工具购置</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21</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文物和陈列品购置</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22</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无形资产购置</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20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2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310</w:t>
            </w:r>
          </w:p>
        </w:tc>
        <w:tc>
          <w:tcPr>
            <w:tcW w:w="40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99</w:t>
            </w:r>
          </w:p>
        </w:tc>
        <w:tc>
          <w:tcPr>
            <w:tcW w:w="2080" w:type="dxa"/>
            <w:tcBorders>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 xml:space="preserve">  其他资本性支出</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gridSpan w:val="3"/>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人员经费合计</w:t>
            </w:r>
          </w:p>
        </w:tc>
        <w:tc>
          <w:tcPr>
            <w:tcW w:w="128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p>
        </w:tc>
        <w:tc>
          <w:tcPr>
            <w:tcW w:w="400" w:type="dxa"/>
            <w:gridSpan w:val="3"/>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公用经费合计</w:t>
            </w:r>
          </w:p>
        </w:tc>
        <w:tc>
          <w:tcPr>
            <w:tcW w:w="1272"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1,628.25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9" w:hRule="exact"/>
          <w:jc w:val="center"/>
        </w:trPr>
        <w:tc>
          <w:tcPr>
            <w:tcW w:w="400" w:type="dxa"/>
            <w:gridSpan w:val="8"/>
            <w:tcBorders>
              <w:left w:val="single" w:color="FFFFFF" w:sz="4" w:space="0"/>
              <w:bottom w:val="single" w:color="FFFFFF" w:sz="4" w:space="0"/>
              <w:right w:val="single" w:color="FFFFFF" w:sz="4" w:space="0"/>
              <w:tl2br w:val="nil"/>
              <w:tr2bl w:val="nil"/>
            </w:tcBorders>
            <w:noWrap w:val="0"/>
            <w:vAlign w:val="center"/>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注：小数点保留两位。</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p>
      <w:pPr>
        <w:autoSpaceDE w:val="0"/>
        <w:autoSpaceDN w:val="0"/>
        <w:adjustRightInd w:val="0"/>
        <w:jc w:val="both"/>
        <w:rPr>
          <w:rFonts w:hint="eastAsia" w:asciiTheme="majorEastAsia" w:hAnsiTheme="majorEastAsia" w:eastAsiaTheme="majorEastAsia" w:cstheme="majorEastAsia"/>
          <w:sz w:val="21"/>
          <w:szCs w:val="21"/>
          <w:lang w:val="en-US" w:eastAsia="zh-CN"/>
        </w:rPr>
        <w:sectPr>
          <w:pgSz w:w="11906" w:h="16838"/>
          <w:pgMar w:top="1440" w:right="1797" w:bottom="1440" w:left="1797" w:header="851" w:footer="992" w:gutter="0"/>
          <w:pgNumType w:fmt="decimal"/>
          <w:cols w:space="720" w:num="1"/>
          <w:docGrid w:linePitch="312" w:charSpace="0"/>
        </w:sectPr>
      </w:pPr>
      <w:r>
        <w:rPr>
          <w:rFonts w:hint="eastAsia" w:asciiTheme="majorEastAsia" w:hAnsiTheme="majorEastAsia" w:eastAsiaTheme="majorEastAsia" w:cstheme="majorEastAsia"/>
          <w:sz w:val="21"/>
          <w:szCs w:val="21"/>
          <w:lang w:val="en-US" w:eastAsia="zh-CN"/>
        </w:rPr>
        <w:t>注：本表反映单位本年度一般公共预算财政拨款基本支出明细情况。</w:t>
      </w:r>
    </w:p>
    <w:p>
      <w:pPr>
        <w:autoSpaceDE w:val="0"/>
        <w:autoSpaceDN w:val="0"/>
        <w:adjustRightInd w:val="0"/>
        <w:jc w:val="center"/>
        <w:outlineLvl w:val="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财政拨款“三公”经费支出决算表</w:t>
      </w:r>
    </w:p>
    <w:p>
      <w:pPr>
        <w:jc w:val="both"/>
        <w:rPr>
          <w:rFonts w:hint="eastAsia" w:asciiTheme="majorEastAsia" w:hAnsiTheme="majorEastAsia" w:eastAsiaTheme="majorEastAsia" w:cstheme="majorEastAsia"/>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pPr>
              <w:jc w:val="both"/>
              <w:rPr>
                <w:rFonts w:hint="eastAsia" w:asciiTheme="majorEastAsia" w:hAnsiTheme="majorEastAsia" w:eastAsiaTheme="majorEastAsia" w:cstheme="majorEastAsia"/>
                <w:sz w:val="21"/>
                <w:szCs w:val="21"/>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部门：中共上海市委政法委员会本级</w:t>
            </w:r>
          </w:p>
        </w:tc>
        <w:tc>
          <w:tcPr>
            <w:tcW w:w="2000" w:type="dxa"/>
            <w:tcBorders>
              <w:tl2br w:val="nil"/>
              <w:tr2bl w:val="nil"/>
            </w:tcBorders>
            <w:noWrap w:val="0"/>
            <w:vAlign w:val="top"/>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2024年度</w:t>
            </w:r>
          </w:p>
        </w:tc>
        <w:tc>
          <w:tcPr>
            <w:tcW w:w="5979" w:type="dxa"/>
            <w:tcBorders>
              <w:tl2br w:val="nil"/>
              <w:tr2bl w:val="nil"/>
            </w:tcBorders>
            <w:noWrap w:val="0"/>
            <w:vAlign w:val="top"/>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金额单位：万元</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160"/>
        <w:gridCol w:w="1160"/>
        <w:gridCol w:w="1160"/>
        <w:gridCol w:w="1160"/>
        <w:gridCol w:w="1160"/>
        <w:gridCol w:w="1160"/>
        <w:gridCol w:w="1160"/>
        <w:gridCol w:w="1160"/>
        <w:gridCol w:w="1160"/>
        <w:gridCol w:w="1160"/>
        <w:gridCol w:w="1160"/>
        <w:gridCol w:w="11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gridSpan w:val="12"/>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一般公共预算财政拨款“三公”经费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gridSpan w:val="2"/>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160" w:type="dxa"/>
            <w:gridSpan w:val="2"/>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因公出国（境）费</w:t>
            </w:r>
          </w:p>
        </w:tc>
        <w:tc>
          <w:tcPr>
            <w:tcW w:w="1160" w:type="dxa"/>
            <w:gridSpan w:val="6"/>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公务用车购置及运行费</w:t>
            </w:r>
          </w:p>
        </w:tc>
        <w:tc>
          <w:tcPr>
            <w:tcW w:w="1160" w:type="dxa"/>
            <w:gridSpan w:val="2"/>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公务接待费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160" w:type="dxa"/>
            <w:gridSpan w:val="2"/>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小计</w:t>
            </w:r>
          </w:p>
        </w:tc>
        <w:tc>
          <w:tcPr>
            <w:tcW w:w="1160" w:type="dxa"/>
            <w:gridSpan w:val="2"/>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公务用车购置费</w:t>
            </w:r>
          </w:p>
        </w:tc>
        <w:tc>
          <w:tcPr>
            <w:tcW w:w="1160" w:type="dxa"/>
            <w:gridSpan w:val="2"/>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公务用车运行费</w:t>
            </w:r>
          </w:p>
        </w:tc>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160" w:type="dxa"/>
            <w:gridSpan w:val="2"/>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预算数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预算数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预算数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预算数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预算数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c>
          <w:tcPr>
            <w:tcW w:w="11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预算数</w:t>
            </w:r>
          </w:p>
        </w:tc>
        <w:tc>
          <w:tcPr>
            <w:tcW w:w="1198"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145.60</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94.88</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60.10</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52.25</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49.00</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28.94</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0.00</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0.00</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49.00</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28.94</w:t>
            </w:r>
          </w:p>
        </w:tc>
        <w:tc>
          <w:tcPr>
            <w:tcW w:w="1160"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36.50</w:t>
            </w:r>
          </w:p>
        </w:tc>
        <w:tc>
          <w:tcPr>
            <w:tcW w:w="1198" w:type="dxa"/>
            <w:tcBorders>
              <w:tl2br w:val="nil"/>
              <w:tr2bl w:val="nil"/>
            </w:tcBorders>
            <w:noWrap w:val="0"/>
            <w:vAlign w:val="center"/>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13.69</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p>
      <w:pPr>
        <w:autoSpaceDE w:val="0"/>
        <w:autoSpaceDN w:val="0"/>
        <w:adjustRightInd w:val="0"/>
        <w:jc w:val="both"/>
        <w:rPr>
          <w:rFonts w:hint="eastAsia" w:asciiTheme="majorEastAsia" w:hAnsiTheme="majorEastAsia" w:eastAsiaTheme="majorEastAsia" w:cstheme="majorEastAsia"/>
          <w:sz w:val="21"/>
          <w:szCs w:val="21"/>
          <w:lang w:val="en-US" w:eastAsia="zh-CN"/>
        </w:rPr>
        <w:sectPr>
          <w:pgSz w:w="16838" w:h="11906" w:orient="landscape"/>
          <w:pgMar w:top="1797" w:right="1440" w:bottom="1797" w:left="1440" w:header="851" w:footer="992" w:gutter="0"/>
          <w:pgNumType w:fmt="decimal"/>
          <w:cols w:space="720" w:num="1"/>
          <w:docGrid w:linePitch="312" w:charSpace="0"/>
        </w:sectPr>
      </w:pPr>
      <w:r>
        <w:rPr>
          <w:rFonts w:hint="eastAsia" w:asciiTheme="majorEastAsia" w:hAnsiTheme="majorEastAsia" w:eastAsiaTheme="majorEastAsia" w:cstheme="majorEastAsia"/>
          <w:sz w:val="21"/>
          <w:szCs w:val="21"/>
          <w:lang w:val="en-US" w:eastAsia="zh-CN"/>
        </w:rPr>
        <w:t>注：本表反映单位本年度“三公”经费支出预决算情况。</w:t>
      </w:r>
    </w:p>
    <w:p>
      <w:pPr>
        <w:autoSpaceDE w:val="0"/>
        <w:autoSpaceDN w:val="0"/>
        <w:adjustRightInd w:val="0"/>
        <w:jc w:val="center"/>
        <w:outlineLvl w:val="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政府性基金预算财政拨款收入支出决算表</w:t>
      </w:r>
    </w:p>
    <w:p>
      <w:pPr>
        <w:jc w:val="both"/>
        <w:rPr>
          <w:rFonts w:hint="eastAsia" w:asciiTheme="majorEastAsia" w:hAnsiTheme="majorEastAsia" w:eastAsiaTheme="majorEastAsia" w:cstheme="majorEastAsia"/>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pPr>
              <w:jc w:val="both"/>
              <w:rPr>
                <w:rFonts w:hint="eastAsia" w:asciiTheme="majorEastAsia" w:hAnsiTheme="majorEastAsia" w:eastAsiaTheme="majorEastAsia" w:cstheme="majorEastAsia"/>
                <w:sz w:val="21"/>
                <w:szCs w:val="21"/>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部门：中共上海市委政法委员会本级</w:t>
            </w:r>
          </w:p>
        </w:tc>
        <w:tc>
          <w:tcPr>
            <w:tcW w:w="2000" w:type="dxa"/>
            <w:tcBorders>
              <w:tl2br w:val="nil"/>
              <w:tr2bl w:val="nil"/>
            </w:tcBorders>
            <w:noWrap w:val="0"/>
            <w:vAlign w:val="top"/>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2024年度</w:t>
            </w:r>
          </w:p>
        </w:tc>
        <w:tc>
          <w:tcPr>
            <w:tcW w:w="5979" w:type="dxa"/>
            <w:tcBorders>
              <w:tl2br w:val="nil"/>
              <w:tr2bl w:val="nil"/>
            </w:tcBorders>
            <w:noWrap w:val="0"/>
            <w:vAlign w:val="top"/>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金额单位：万元</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560"/>
        <w:gridCol w:w="560"/>
        <w:gridCol w:w="560"/>
        <w:gridCol w:w="1760"/>
        <w:gridCol w:w="1760"/>
        <w:gridCol w:w="1760"/>
        <w:gridCol w:w="1760"/>
        <w:gridCol w:w="1760"/>
        <w:gridCol w:w="1760"/>
        <w:gridCol w:w="17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031" w:hRule="exact"/>
          <w:jc w:val="center"/>
        </w:trPr>
        <w:tc>
          <w:tcPr>
            <w:tcW w:w="560" w:type="dxa"/>
            <w:gridSpan w:val="3"/>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功能分类科目编码</w:t>
            </w:r>
          </w:p>
        </w:tc>
        <w:tc>
          <w:tcPr>
            <w:tcW w:w="17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科目名称</w:t>
            </w:r>
          </w:p>
        </w:tc>
        <w:tc>
          <w:tcPr>
            <w:tcW w:w="17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年初结转和结余</w:t>
            </w:r>
          </w:p>
        </w:tc>
        <w:tc>
          <w:tcPr>
            <w:tcW w:w="176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本年收入</w:t>
            </w:r>
          </w:p>
        </w:tc>
        <w:tc>
          <w:tcPr>
            <w:tcW w:w="1760" w:type="dxa"/>
            <w:gridSpan w:val="3"/>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本年支出</w:t>
            </w:r>
          </w:p>
        </w:tc>
        <w:tc>
          <w:tcPr>
            <w:tcW w:w="1718"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9" w:hRule="exact"/>
          <w:jc w:val="center"/>
        </w:trPr>
        <w:tc>
          <w:tcPr>
            <w:tcW w:w="5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类</w:t>
            </w:r>
          </w:p>
        </w:tc>
        <w:tc>
          <w:tcPr>
            <w:tcW w:w="5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款</w:t>
            </w:r>
          </w:p>
        </w:tc>
        <w:tc>
          <w:tcPr>
            <w:tcW w:w="5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w:t>
            </w:r>
          </w:p>
        </w:tc>
        <w:tc>
          <w:tcPr>
            <w:tcW w:w="17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小计</w:t>
            </w:r>
          </w:p>
        </w:tc>
        <w:tc>
          <w:tcPr>
            <w:tcW w:w="17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基本支出</w:t>
            </w:r>
          </w:p>
        </w:tc>
        <w:tc>
          <w:tcPr>
            <w:tcW w:w="17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项目支出</w:t>
            </w:r>
          </w:p>
        </w:tc>
        <w:tc>
          <w:tcPr>
            <w:tcW w:w="1718"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9" w:hRule="exact"/>
          <w:jc w:val="center"/>
        </w:trPr>
        <w:tc>
          <w:tcPr>
            <w:tcW w:w="560" w:type="dxa"/>
            <w:gridSpan w:val="4"/>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18"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9" w:hRule="exact"/>
          <w:jc w:val="center"/>
        </w:trPr>
        <w:tc>
          <w:tcPr>
            <w:tcW w:w="560" w:type="dxa"/>
            <w:gridSpan w:val="3"/>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6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718"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p>
      <w:pPr>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注：本表反映单位本年度政府性基金预算财政拨款收入支出及结转和结余情况。</w:t>
      </w:r>
    </w:p>
    <w:p>
      <w:pPr>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说明：中共上海市委政法委员会本级本年度没有政府性基金预算财政拨款收入和支出，故本表无数据。</w:t>
      </w:r>
    </w:p>
    <w:p>
      <w:pPr>
        <w:autoSpaceDE w:val="0"/>
        <w:autoSpaceDN w:val="0"/>
        <w:adjustRightInd w:val="0"/>
        <w:jc w:val="center"/>
        <w:outlineLvl w:val="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br w:type="page"/>
      </w:r>
      <w:r>
        <w:rPr>
          <w:rFonts w:hint="eastAsia" w:asciiTheme="majorEastAsia" w:hAnsiTheme="majorEastAsia" w:eastAsiaTheme="majorEastAsia" w:cstheme="majorEastAsia"/>
          <w:sz w:val="21"/>
          <w:szCs w:val="21"/>
          <w:lang w:val="en-US" w:eastAsia="zh-CN"/>
        </w:rPr>
        <w:t>国有资本经营预算财政拨款收入支出决算表</w:t>
      </w:r>
    </w:p>
    <w:p>
      <w:pPr>
        <w:jc w:val="both"/>
        <w:rPr>
          <w:rFonts w:hint="eastAsia" w:asciiTheme="majorEastAsia" w:hAnsiTheme="majorEastAsia" w:eastAsiaTheme="majorEastAsia" w:cstheme="majorEastAsia"/>
          <w:sz w:val="21"/>
          <w:szCs w:val="21"/>
          <w:lang w:val="en-US" w:eastAsia="zh-CN"/>
        </w:rPr>
      </w:pPr>
    </w:p>
    <w:tbl>
      <w:tblPr>
        <w:tblStyle w:val="8"/>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pPr>
              <w:jc w:val="both"/>
              <w:rPr>
                <w:rFonts w:hint="eastAsia" w:asciiTheme="majorEastAsia" w:hAnsiTheme="majorEastAsia" w:eastAsiaTheme="majorEastAsia" w:cstheme="majorEastAsia"/>
                <w:sz w:val="21"/>
                <w:szCs w:val="21"/>
                <w:lang w:val="en-US" w:eastAsia="zh-CN"/>
              </w:rPr>
            </w:pP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pPr>
              <w:jc w:val="lef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部门：中共上海市委政法委员会本级</w:t>
            </w:r>
          </w:p>
        </w:tc>
        <w:tc>
          <w:tcPr>
            <w:tcW w:w="2000" w:type="dxa"/>
            <w:tcBorders>
              <w:tl2br w:val="nil"/>
              <w:tr2bl w:val="nil"/>
            </w:tcBorders>
            <w:noWrap w:val="0"/>
            <w:vAlign w:val="top"/>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2024年度</w:t>
            </w:r>
          </w:p>
        </w:tc>
        <w:tc>
          <w:tcPr>
            <w:tcW w:w="5979" w:type="dxa"/>
            <w:tcBorders>
              <w:tl2br w:val="nil"/>
              <w:tr2bl w:val="nil"/>
            </w:tcBorders>
            <w:noWrap w:val="0"/>
            <w:vAlign w:val="top"/>
          </w:tcPr>
          <w:p>
            <w:pPr>
              <w:jc w:val="right"/>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金额单位：万元</w:t>
            </w:r>
          </w:p>
        </w:tc>
      </w:tr>
    </w:tbl>
    <w:p>
      <w:pPr>
        <w:snapToGrid w:val="0"/>
        <w:spacing w:before="0" w:after="0" w:line="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360"/>
        <w:gridCol w:w="320"/>
        <w:gridCol w:w="3440"/>
        <w:gridCol w:w="1580"/>
        <w:gridCol w:w="1580"/>
        <w:gridCol w:w="1580"/>
        <w:gridCol w:w="1580"/>
        <w:gridCol w:w="1580"/>
        <w:gridCol w:w="157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4" w:hRule="exact"/>
          <w:jc w:val="center"/>
        </w:trPr>
        <w:tc>
          <w:tcPr>
            <w:tcW w:w="360" w:type="dxa"/>
            <w:gridSpan w:val="4"/>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w:t>
            </w:r>
          </w:p>
        </w:tc>
        <w:tc>
          <w:tcPr>
            <w:tcW w:w="158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年初结转和结余</w:t>
            </w:r>
          </w:p>
        </w:tc>
        <w:tc>
          <w:tcPr>
            <w:tcW w:w="1580"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本年收入</w:t>
            </w:r>
          </w:p>
        </w:tc>
        <w:tc>
          <w:tcPr>
            <w:tcW w:w="1580" w:type="dxa"/>
            <w:gridSpan w:val="3"/>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本年支出</w:t>
            </w:r>
          </w:p>
        </w:tc>
        <w:tc>
          <w:tcPr>
            <w:tcW w:w="1578" w:type="dxa"/>
            <w:vMerge w:val="restart"/>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4" w:hRule="exact"/>
          <w:jc w:val="center"/>
        </w:trPr>
        <w:tc>
          <w:tcPr>
            <w:tcW w:w="360" w:type="dxa"/>
            <w:gridSpan w:val="3"/>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功能分类科目编码</w:t>
            </w:r>
          </w:p>
        </w:tc>
        <w:tc>
          <w:tcPr>
            <w:tcW w:w="3440" w:type="dxa"/>
            <w:vMerge w:val="restart"/>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科目名称</w:t>
            </w:r>
          </w:p>
        </w:tc>
        <w:tc>
          <w:tcPr>
            <w:tcW w:w="158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gridSpan w:val="3"/>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78"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4" w:hRule="exact"/>
          <w:jc w:val="center"/>
        </w:trPr>
        <w:tc>
          <w:tcPr>
            <w:tcW w:w="360" w:type="dxa"/>
            <w:gridSpan w:val="3"/>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344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58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基本支出</w:t>
            </w:r>
          </w:p>
        </w:tc>
        <w:tc>
          <w:tcPr>
            <w:tcW w:w="158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项目支出</w:t>
            </w:r>
          </w:p>
        </w:tc>
        <w:tc>
          <w:tcPr>
            <w:tcW w:w="1578" w:type="dxa"/>
            <w:vMerge w:val="continue"/>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4" w:hRule="exact"/>
          <w:jc w:val="center"/>
        </w:trPr>
        <w:tc>
          <w:tcPr>
            <w:tcW w:w="3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类</w:t>
            </w:r>
          </w:p>
        </w:tc>
        <w:tc>
          <w:tcPr>
            <w:tcW w:w="36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款</w:t>
            </w:r>
          </w:p>
        </w:tc>
        <w:tc>
          <w:tcPr>
            <w:tcW w:w="32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项</w:t>
            </w:r>
          </w:p>
        </w:tc>
        <w:tc>
          <w:tcPr>
            <w:tcW w:w="3440" w:type="dxa"/>
            <w:tcBorders>
              <w:tl2br w:val="nil"/>
              <w:tr2bl w:val="nil"/>
            </w:tcBorders>
            <w:noWrap w:val="0"/>
            <w:vAlign w:val="center"/>
          </w:tcPr>
          <w:p>
            <w:pPr>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b w:val="0"/>
                <w:i w:val="0"/>
                <w:color w:val="000000"/>
                <w:sz w:val="21"/>
                <w:szCs w:val="21"/>
                <w:lang w:val="en-US" w:eastAsia="zh-CN"/>
              </w:rPr>
              <w:t>合计</w:t>
            </w: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78"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4" w:hRule="exact"/>
          <w:jc w:val="center"/>
        </w:trPr>
        <w:tc>
          <w:tcPr>
            <w:tcW w:w="360" w:type="dxa"/>
            <w:gridSpan w:val="3"/>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344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80"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c>
          <w:tcPr>
            <w:tcW w:w="1578" w:type="dxa"/>
            <w:tcBorders>
              <w:tl2br w:val="nil"/>
              <w:tr2bl w:val="nil"/>
            </w:tcBorders>
            <w:noWrap w:val="0"/>
            <w:vAlign w:val="center"/>
          </w:tcPr>
          <w:p>
            <w:pPr>
              <w:jc w:val="both"/>
              <w:rPr>
                <w:rFonts w:hint="eastAsia" w:asciiTheme="majorEastAsia" w:hAnsiTheme="majorEastAsia" w:eastAsiaTheme="majorEastAsia" w:cstheme="majorEastAsia"/>
                <w:sz w:val="21"/>
                <w:szCs w:val="21"/>
                <w:lang w:val="en-US" w:eastAsia="zh-CN"/>
              </w:rPr>
            </w:pPr>
          </w:p>
        </w:tc>
      </w:tr>
    </w:tbl>
    <w:p>
      <w:pPr>
        <w:snapToGrid w:val="0"/>
        <w:spacing w:before="0" w:after="0" w:line="0" w:lineRule="auto"/>
        <w:jc w:val="both"/>
        <w:rPr>
          <w:lang w:val="en-US" w:eastAsia="zh-CN"/>
        </w:rPr>
      </w:pPr>
      <w:r>
        <w:rPr>
          <w:sz w:val="8"/>
          <w:lang w:val="en-US" w:eastAsia="zh-CN"/>
        </w:rPr>
        <w:t xml:space="preserve"> </w:t>
      </w:r>
    </w:p>
    <w:p>
      <w:pPr>
        <w:jc w:val="both"/>
        <w:rPr>
          <w:rFonts w:hint="eastAsia" w:ascii="宋体" w:hAnsi="宋体"/>
          <w:szCs w:val="21"/>
          <w:lang w:val="en-US" w:eastAsia="zh-CN"/>
        </w:rPr>
      </w:pPr>
      <w:r>
        <w:rPr>
          <w:rFonts w:hint="eastAsia" w:ascii="宋体" w:hAnsi="宋体"/>
          <w:szCs w:val="21"/>
          <w:lang w:val="en-US" w:eastAsia="zh-CN"/>
        </w:rPr>
        <w:t>注：本表反映单位本年度国有资本经营预算财政拨款收入支出及结转和结余情况。</w:t>
      </w:r>
    </w:p>
    <w:p>
      <w:pPr>
        <w:jc w:val="both"/>
        <w:rPr>
          <w:rFonts w:hint="eastAsia" w:ascii="宋体" w:hAnsi="宋体"/>
          <w:szCs w:val="21"/>
          <w:lang w:val="en-US" w:eastAsia="zh-CN"/>
        </w:rPr>
        <w:sectPr>
          <w:headerReference r:id="rId5" w:type="default"/>
          <w:footerReference r:id="rId6" w:type="default"/>
          <w:pgSz w:w="16838" w:h="11906" w:orient="landscape"/>
          <w:pgMar w:top="1797" w:right="1440" w:bottom="1797" w:left="1440" w:header="851" w:footer="992" w:gutter="0"/>
          <w:pgNumType w:fmt="decimal"/>
          <w:cols w:space="720" w:num="1"/>
          <w:docGrid w:type="linesAndChars" w:linePitch="312" w:charSpace="0"/>
        </w:sectPr>
      </w:pPr>
      <w:r>
        <w:rPr>
          <w:rFonts w:hint="eastAsia" w:ascii="宋体" w:hAnsi="宋体"/>
          <w:szCs w:val="21"/>
          <w:lang w:val="en-US" w:eastAsia="zh-CN"/>
        </w:rPr>
        <w:t>说明：</w:t>
      </w:r>
      <w:r>
        <w:rPr>
          <w:rFonts w:ascii="宋体" w:hAnsi="宋体" w:eastAsia="宋体" w:cs="宋体"/>
          <w:sz w:val="20"/>
          <w:lang w:val="en-US" w:eastAsia="zh-CN"/>
        </w:rPr>
        <w:t>中共上海市委政法委员会本级</w:t>
      </w:r>
      <w:r>
        <w:rPr>
          <w:rFonts w:hint="eastAsia" w:ascii="宋体" w:hAnsi="宋体"/>
          <w:szCs w:val="21"/>
          <w:lang w:val="en-US" w:eastAsia="zh-CN"/>
        </w:rPr>
        <w:t>没有国有资本经营预算财政拨款收入和支出，故本表无数据。</w:t>
      </w:r>
    </w:p>
    <w:p>
      <w:pPr>
        <w:jc w:val="center"/>
        <w:rPr>
          <w:rFonts w:hint="eastAsia" w:ascii="黑体" w:eastAsia="黑体"/>
          <w:sz w:val="30"/>
          <w:szCs w:val="30"/>
          <w:lang w:val="en-US" w:eastAsia="zh-CN"/>
        </w:rPr>
      </w:pPr>
      <w:r>
        <w:rPr>
          <w:rFonts w:hint="eastAsia" w:ascii="黑体" w:eastAsia="黑体"/>
          <w:sz w:val="30"/>
          <w:szCs w:val="30"/>
          <w:lang w:val="en-US" w:eastAsia="zh-CN"/>
        </w:rPr>
        <w:t>第三部分  中共上海市委政法委员会本级2024年度决算     情况说明</w:t>
      </w:r>
    </w:p>
    <w:p>
      <w:pPr>
        <w:jc w:val="center"/>
        <w:rPr>
          <w:rFonts w:hint="eastAsia" w:ascii="黑体" w:eastAsia="黑体"/>
          <w:sz w:val="30"/>
          <w:szCs w:val="30"/>
          <w:lang w:val="en-US" w:eastAsia="zh-CN"/>
        </w:rPr>
      </w:pP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一、收入支出决算总体情况说明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中共上海市委政法委员会本级2024年度收入支出总计5,828.76万元。与2023年度相比，收入支出总计增加1</w:t>
      </w:r>
      <w:r>
        <w:rPr>
          <w:rFonts w:hint="eastAsia" w:ascii="文泉驿微米黑" w:hAnsi="文泉驿微米黑" w:eastAsia="文泉驿微米黑" w:cs="文泉驿微米黑"/>
          <w:sz w:val="30"/>
          <w:szCs w:val="30"/>
          <w:lang w:val="en-US" w:eastAsia="zh-CN"/>
        </w:rPr>
        <w:t xml:space="preserve"> </w:t>
      </w:r>
      <w:r>
        <w:rPr>
          <w:rFonts w:hint="eastAsia" w:ascii="方正书宋_GBK" w:hAnsi="方正书宋_GBK" w:eastAsia="方正书宋_GBK" w:cs="方正书宋_GBK"/>
          <w:sz w:val="30"/>
          <w:szCs w:val="30"/>
          <w:lang w:val="en-US" w:eastAsia="zh-CN"/>
        </w:rPr>
        <w:t>,405</w:t>
      </w:r>
      <w:r>
        <w:rPr>
          <w:rFonts w:hint="eastAsia" w:ascii="仿宋_GB2312" w:eastAsia="仿宋_GB2312"/>
          <w:sz w:val="30"/>
          <w:szCs w:val="30"/>
          <w:lang w:val="en-US" w:eastAsia="zh-CN"/>
        </w:rPr>
        <w:t>.58万元，增长31.78%。主要原因：信息化和办公用房维修项目增加。</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二、收入决算情况说明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本年收入合计5,805.92万元，其中：财政拨款收入5,805.92万元，占100.00%。</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三、支出决算情况说明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本年支出合计5,805.92万元，其中：基本支出1,628.25万元，占28.04%；项目支出4,177.67万元，占71.96%。</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四、财政拨款收入支出决算总体情况说明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中共上海市委政法委员会本级2024年度财政拨款收入支出总计5,828.76万元。与2023年度相比，财政拨款收入支出总计增加1</w:t>
      </w:r>
      <w:r>
        <w:rPr>
          <w:rFonts w:hint="eastAsia" w:ascii="方正书宋_GBK" w:hAnsi="方正书宋_GBK" w:eastAsia="方正书宋_GBK" w:cs="方正书宋_GBK"/>
          <w:sz w:val="30"/>
          <w:szCs w:val="30"/>
          <w:lang w:val="en-US" w:eastAsia="zh-CN"/>
        </w:rPr>
        <w:t>,4</w:t>
      </w:r>
      <w:r>
        <w:rPr>
          <w:rFonts w:hint="eastAsia" w:ascii="仿宋_GB2312" w:eastAsia="仿宋_GB2312"/>
          <w:sz w:val="30"/>
          <w:szCs w:val="30"/>
          <w:lang w:val="en-US" w:eastAsia="zh-CN"/>
        </w:rPr>
        <w:t>05.58万元，增长31.78%。主要原因：信息化和办公用房维修项目增加。</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五、一般公共预算财政拨款支出决算情况说明</w:t>
      </w:r>
    </w:p>
    <w:p>
      <w:pPr>
        <w:ind w:firstLine="602" w:firstLineChars="200"/>
        <w:jc w:val="both"/>
        <w:outlineLvl w:val="0"/>
        <w:rPr>
          <w:rFonts w:hint="eastAsia" w:ascii="楷体_GB2312" w:hAnsi="宋体" w:eastAsia="楷体_GB2312"/>
          <w:b/>
          <w:sz w:val="30"/>
          <w:szCs w:val="30"/>
          <w:lang w:val="en-US" w:eastAsia="zh-CN"/>
        </w:rPr>
      </w:pPr>
      <w:r>
        <w:rPr>
          <w:rFonts w:hint="eastAsia" w:ascii="楷体_GB2312" w:hAnsi="宋体" w:eastAsia="楷体_GB2312"/>
          <w:b/>
          <w:sz w:val="30"/>
          <w:szCs w:val="30"/>
          <w:lang w:val="en-US" w:eastAsia="zh-CN"/>
        </w:rPr>
        <w:t>（一）一般公共预算财政拨款支出决算总体情况</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一般公共预算财政拨款支出5,805.92万元，占本年支出合计的100.00%。与2023年度相比，一般公共预算财政拨款支出增加1,421.18万元，增长32.41%。主要原因：信息化和办公用房维修项目增加。</w:t>
      </w:r>
    </w:p>
    <w:p>
      <w:pPr>
        <w:ind w:firstLine="602" w:firstLineChars="200"/>
        <w:jc w:val="both"/>
        <w:outlineLvl w:val="0"/>
        <w:rPr>
          <w:rFonts w:hint="eastAsia" w:ascii="楷体_GB2312" w:hAnsi="宋体" w:eastAsia="楷体_GB2312"/>
          <w:b/>
          <w:sz w:val="30"/>
          <w:szCs w:val="30"/>
          <w:lang w:val="en-US" w:eastAsia="zh-CN"/>
        </w:rPr>
      </w:pPr>
      <w:r>
        <w:rPr>
          <w:rFonts w:hint="eastAsia" w:ascii="楷体_GB2312" w:hAnsi="宋体" w:eastAsia="楷体_GB2312"/>
          <w:b/>
          <w:sz w:val="30"/>
          <w:szCs w:val="30"/>
          <w:lang w:val="en-US" w:eastAsia="zh-CN"/>
        </w:rPr>
        <w:t>（二）一般公共预算财政拨款支出决算结构情况</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一般公共预算财政拨款支出5,805.92万元，主要用于以下方面：公共安全支出（类）5,525.48万元，占95.17%；社会和保障就业支出（类）23.20万元，占0.40%；其他支出（类）257.24万元，占4.43%。</w:t>
      </w:r>
    </w:p>
    <w:p>
      <w:pPr>
        <w:ind w:firstLine="602" w:firstLineChars="200"/>
        <w:jc w:val="both"/>
        <w:outlineLvl w:val="0"/>
        <w:rPr>
          <w:rFonts w:hint="eastAsia" w:ascii="楷体_GB2312" w:hAnsi="宋体" w:eastAsia="楷体_GB2312"/>
          <w:b/>
          <w:sz w:val="30"/>
          <w:szCs w:val="30"/>
          <w:lang w:val="en-US" w:eastAsia="zh-CN"/>
        </w:rPr>
      </w:pPr>
      <w:r>
        <w:rPr>
          <w:rFonts w:hint="eastAsia" w:ascii="楷体_GB2312" w:hAnsi="宋体" w:eastAsia="楷体_GB2312"/>
          <w:b/>
          <w:sz w:val="30"/>
          <w:szCs w:val="30"/>
          <w:lang w:val="en-US" w:eastAsia="zh-CN"/>
        </w:rPr>
        <w:t>（三）一般公共预算财政拨款支出决算具体情况</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一般公共预算财政拨款支出年初预算为6,049.13万元，支出决算为5,805.92万元，完成年初预算的95.98%。决算数小于预算数的主要原因：节约成本压缩开支。其中： </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1、公共安全支出（类）公安（款）行政运行（项）。主要用于：公用经费支出。年初预算为1,686.75万元，支出决算为1,605.05万元。决算数小于预算数的主要原因：控制“三公”经费支出。</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2、公共安全支出（类）公安（款）其他公安支出（项）。主要用于禁毒工作经费、政法宣传工作经费、基层社会治理工作经费及完成各项业务所需经费。年初预算为4,081.94万元，支出决算为3,920.43万元。决算数小于预算数的主要原因：部分项目因工作任务调整未支出。</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3、 社会保障和就业支出（类）行政事业单位养老支出（款）行政单位离退休（项）。主要用于：行政单位离退休人员经费支出。年初预算为23.20万元，支出决算为23.20万元。决算数和预算数持平。</w:t>
      </w:r>
    </w:p>
    <w:p>
      <w:pPr>
        <w:ind w:firstLine="600" w:firstLineChars="200"/>
        <w:jc w:val="both"/>
        <w:rPr>
          <w:rFonts w:hint="eastAsia" w:ascii="仿宋_GB2312" w:eastAsia="仿宋_GB2312"/>
          <w:sz w:val="30"/>
          <w:szCs w:val="30"/>
          <w:lang w:val="en-US" w:eastAsia="zh-CN"/>
        </w:rPr>
      </w:pPr>
      <w:r>
        <w:rPr>
          <w:rFonts w:hint="default" w:ascii="仿宋_GB2312" w:eastAsia="仿宋_GB2312"/>
          <w:sz w:val="30"/>
          <w:szCs w:val="30"/>
          <w:lang w:val="en" w:eastAsia="zh-CN"/>
        </w:rPr>
        <w:t>4</w:t>
      </w:r>
      <w:r>
        <w:rPr>
          <w:rFonts w:hint="eastAsia" w:ascii="仿宋_GB2312" w:eastAsia="仿宋_GB2312"/>
          <w:sz w:val="30"/>
          <w:szCs w:val="30"/>
          <w:lang w:val="en" w:eastAsia="zh-CN"/>
        </w:rPr>
        <w:t>、</w:t>
      </w:r>
      <w:r>
        <w:rPr>
          <w:rFonts w:hint="eastAsia" w:ascii="仿宋_GB2312" w:eastAsia="仿宋_GB2312"/>
          <w:sz w:val="30"/>
          <w:szCs w:val="30"/>
          <w:lang w:val="en-US" w:eastAsia="zh-CN"/>
        </w:rPr>
        <w:t>其他支出（类）其他支出（款）其他支出（项）。</w:t>
      </w:r>
      <w:bookmarkStart w:id="0" w:name="_GoBack"/>
      <w:bookmarkEnd w:id="0"/>
      <w:r>
        <w:rPr>
          <w:rFonts w:hint="eastAsia" w:ascii="仿宋_GB2312" w:eastAsia="仿宋_GB2312"/>
          <w:sz w:val="30"/>
          <w:szCs w:val="30"/>
          <w:lang w:val="en-US" w:eastAsia="zh-CN"/>
        </w:rPr>
        <w:t>主要用于：禁毒智能化管理服务预警平台工作经费。年初预算为257.24万元，支出决算为257.24万元。决算数和预算数持平。</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六、一般公共预算财政拨款基本支出决算情况说明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一般公共预算财政拨款基本支出1,628.25万元。其中：公用经费1,628.24万元，主要包括：办公费、印刷费、水费、电费、邮电费、物业管理费、差旅费、因公出国（境）费用、维修（护）费、租赁费、会议费、培训费、公务接待费、工会经费、福利费、公务用车运行维护费、其他交通费用、其他商品和服务支出。</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七、财政拨款“三公”经费支出决算情况说明</w:t>
      </w:r>
    </w:p>
    <w:p>
      <w:pPr>
        <w:ind w:firstLine="602" w:firstLineChars="200"/>
        <w:jc w:val="both"/>
        <w:outlineLvl w:val="0"/>
        <w:rPr>
          <w:rFonts w:hint="eastAsia" w:ascii="楷体_GB2312" w:eastAsia="楷体_GB2312"/>
          <w:b/>
          <w:sz w:val="30"/>
          <w:szCs w:val="30"/>
          <w:lang w:val="en-US" w:eastAsia="zh-CN"/>
        </w:rPr>
      </w:pPr>
      <w:r>
        <w:rPr>
          <w:rFonts w:hint="eastAsia" w:ascii="楷体_GB2312" w:hAnsi="宋体" w:eastAsia="楷体_GB2312"/>
          <w:b/>
          <w:sz w:val="30"/>
          <w:szCs w:val="30"/>
          <w:lang w:val="en-US" w:eastAsia="zh-CN"/>
        </w:rPr>
        <w:t>（一）</w:t>
      </w:r>
      <w:r>
        <w:rPr>
          <w:rFonts w:hint="eastAsia" w:ascii="楷体_GB2312" w:eastAsia="楷体_GB2312"/>
          <w:b/>
          <w:sz w:val="30"/>
          <w:szCs w:val="30"/>
          <w:lang w:val="en-US" w:eastAsia="zh-CN"/>
        </w:rPr>
        <w:t>“三公”经费财政拨款支出决算总体情况说明。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三公”经费财政拨款支出年初预算为145.60万元，支出决算为94.88万元，完成预算的65.16%，其中：因公出国（境）费决算为52.25万元，完成预算的86.94%；公务用车购置及运行维护费支出决算为28.94万元，完成预算的86.94%；公务接待费支出决算为13.69万元，完成预算的37.51%。2024年度“三公”经费支出决算数小于预算数的主要原因：严格控制公务接待费用支出。</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2024年度“三公”经费财政拨款支出决算数比2023年度增加51.23万元，增长117.36%，其中：因公出国（境）费支出决算增加51.73万元；公务用车购置及运行维护费支出决算增加2.90万元，增长11.14%；公务接待费支出决算减少3.4万元，下降19.89%。因公出国（境）费增加的主要原因是工作需要，用于出国（境）开展公务活动交通费，住宿费支出。公务用车购置及运行维护费支出增加的主要原因是车辆维修、燃油支出增加。公务接待费支出减少的主要原因是严格控制公务接待标准。</w:t>
      </w:r>
    </w:p>
    <w:p>
      <w:pPr>
        <w:ind w:firstLine="602" w:firstLineChars="200"/>
        <w:jc w:val="both"/>
        <w:outlineLvl w:val="0"/>
        <w:rPr>
          <w:rFonts w:hint="eastAsia" w:ascii="楷体_GB2312" w:eastAsia="楷体_GB2312"/>
          <w:b/>
          <w:sz w:val="30"/>
          <w:szCs w:val="30"/>
          <w:lang w:val="en-US" w:eastAsia="zh-CN"/>
        </w:rPr>
      </w:pPr>
      <w:r>
        <w:rPr>
          <w:rFonts w:hint="eastAsia" w:ascii="楷体_GB2312" w:hAnsi="宋体" w:eastAsia="楷体_GB2312"/>
          <w:b/>
          <w:sz w:val="30"/>
          <w:szCs w:val="30"/>
          <w:lang w:val="en-US" w:eastAsia="zh-CN"/>
        </w:rPr>
        <w:t>（二）</w:t>
      </w:r>
      <w:r>
        <w:rPr>
          <w:rFonts w:hint="eastAsia" w:ascii="楷体_GB2312" w:eastAsia="楷体_GB2312"/>
          <w:b/>
          <w:sz w:val="30"/>
          <w:szCs w:val="30"/>
          <w:lang w:val="en-US" w:eastAsia="zh-CN"/>
        </w:rPr>
        <w:t>“三公”经费财政拨款支出决算具体情况说明。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“三公”经费财政拨款支出决算中，因公出国（境）费支出决算52.25万元，占55.0</w:t>
      </w:r>
      <w:r>
        <w:rPr>
          <w:rFonts w:hint="default" w:ascii="仿宋_GB2312" w:eastAsia="仿宋_GB2312"/>
          <w:sz w:val="30"/>
          <w:szCs w:val="30"/>
          <w:lang w:val="en" w:eastAsia="zh-CN"/>
        </w:rPr>
        <w:t>6</w:t>
      </w:r>
      <w:r>
        <w:rPr>
          <w:rFonts w:hint="eastAsia" w:ascii="仿宋_GB2312" w:eastAsia="仿宋_GB2312"/>
          <w:sz w:val="30"/>
          <w:szCs w:val="30"/>
          <w:lang w:val="en-US" w:eastAsia="zh-CN"/>
        </w:rPr>
        <w:t>%；公务用车购置及运行维护费支出决算28.94万元，占</w:t>
      </w:r>
      <w:r>
        <w:rPr>
          <w:rFonts w:hint="default" w:ascii="仿宋_GB2312" w:eastAsia="仿宋_GB2312"/>
          <w:sz w:val="30"/>
          <w:szCs w:val="30"/>
          <w:lang w:val="en" w:eastAsia="zh-CN"/>
        </w:rPr>
        <w:t>30.52</w:t>
      </w:r>
      <w:r>
        <w:rPr>
          <w:rFonts w:hint="eastAsia" w:ascii="仿宋_GB2312" w:eastAsia="仿宋_GB2312"/>
          <w:sz w:val="30"/>
          <w:szCs w:val="30"/>
          <w:lang w:val="en-US" w:eastAsia="zh-CN"/>
        </w:rPr>
        <w:t>%；公务接待费支出决算13</w:t>
      </w:r>
      <w:r>
        <w:rPr>
          <w:rFonts w:hint="default" w:ascii="仿宋_GB2312" w:eastAsia="仿宋_GB2312"/>
          <w:sz w:val="30"/>
          <w:szCs w:val="30"/>
          <w:lang w:val="en" w:eastAsia="zh-CN"/>
        </w:rPr>
        <w:t>.69</w:t>
      </w:r>
      <w:r>
        <w:rPr>
          <w:rFonts w:hint="eastAsia" w:ascii="仿宋_GB2312" w:eastAsia="仿宋_GB2312"/>
          <w:sz w:val="30"/>
          <w:szCs w:val="30"/>
          <w:lang w:val="en-US" w:eastAsia="zh-CN"/>
        </w:rPr>
        <w:t>万元，占</w:t>
      </w:r>
      <w:r>
        <w:rPr>
          <w:rFonts w:hint="default" w:ascii="仿宋_GB2312" w:eastAsia="仿宋_GB2312"/>
          <w:sz w:val="30"/>
          <w:szCs w:val="30"/>
          <w:lang w:val="en" w:eastAsia="zh-CN"/>
        </w:rPr>
        <w:t>14.42</w:t>
      </w:r>
      <w:r>
        <w:rPr>
          <w:rFonts w:hint="eastAsia" w:ascii="仿宋_GB2312" w:eastAsia="仿宋_GB2312"/>
          <w:sz w:val="30"/>
          <w:szCs w:val="30"/>
          <w:lang w:val="en-US" w:eastAsia="zh-CN"/>
        </w:rPr>
        <w:t>%。具体情况如下：</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1、因公出国（境）费支出52.25万元。全年安排因公出国（境）团组5个、累计9人次。开支内容包括：出国（境）公务活动的交通住宿费。</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2、公务用车购置及运行维护费支出28.94万元。其中：公务用车购置支出为0万元。公务用车运行维护支出28.94万元。主要用于车辆的停车费、保险费、汽油费、维修费等。2024年，中共上海市委政法委员会单位开支财政拨款的公务用车保有量为14辆。</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3、公务接待费支出13.69万元。其中：国内公务接待支出13.69万元（含外宾接待支出0万元）。主要用于接待用餐，全年公务接待19批次、约283人次。</w:t>
      </w:r>
    </w:p>
    <w:p>
      <w:pPr>
        <w:ind w:firstLine="602" w:firstLineChars="2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八、政府性基金预算财政拨款收入支出决算情况说明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中共上海市委政法委员会本级2024年度无政府性基金预算财政拨款收入和支出。</w:t>
      </w:r>
    </w:p>
    <w:p>
      <w:pPr>
        <w:ind w:firstLine="602" w:firstLineChars="200"/>
        <w:jc w:val="both"/>
        <w:outlineLvl w:val="0"/>
        <w:rPr>
          <w:rFonts w:ascii="楷体_GB2312" w:eastAsia="楷体_GB2312"/>
          <w:b/>
          <w:sz w:val="30"/>
          <w:szCs w:val="30"/>
          <w:lang w:val="en-US" w:eastAsia="zh-CN"/>
        </w:rPr>
      </w:pPr>
      <w:r>
        <w:rPr>
          <w:rFonts w:hint="eastAsia" w:ascii="楷体_GB2312" w:eastAsia="楷体_GB2312"/>
          <w:b/>
          <w:sz w:val="30"/>
          <w:szCs w:val="30"/>
          <w:lang w:val="en-US" w:eastAsia="zh-CN"/>
        </w:rPr>
        <w:t>九、国有资本经营预算财政拨款收入支出决算情况说明</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中共上海市委政法委员会本级2024年度无国有资本经营预算财政拨款收入和支出。</w:t>
      </w:r>
    </w:p>
    <w:p>
      <w:pPr>
        <w:widowControl/>
        <w:ind w:firstLine="602" w:firstLineChars="200"/>
        <w:jc w:val="left"/>
        <w:outlineLvl w:val="0"/>
        <w:rPr>
          <w:rFonts w:hint="eastAsia" w:ascii="楷体_GB2312" w:hAnsi="宋体" w:eastAsia="楷体_GB2312" w:cs="楷体"/>
          <w:b/>
          <w:bCs/>
          <w:color w:val="000000"/>
          <w:kern w:val="0"/>
          <w:sz w:val="30"/>
          <w:szCs w:val="30"/>
          <w:lang w:val="en-US" w:eastAsia="zh-CN"/>
        </w:rPr>
      </w:pPr>
      <w:r>
        <w:rPr>
          <w:rFonts w:hint="eastAsia" w:ascii="楷体_GB2312" w:hAnsi="宋体" w:eastAsia="楷体_GB2312" w:cs="楷体"/>
          <w:b/>
          <w:bCs/>
          <w:color w:val="000000"/>
          <w:kern w:val="0"/>
          <w:sz w:val="30"/>
          <w:szCs w:val="30"/>
          <w:lang w:val="en-US" w:eastAsia="zh-CN"/>
        </w:rPr>
        <w:t>十、预算绩效管理情况</w:t>
      </w:r>
    </w:p>
    <w:p>
      <w:pPr>
        <w:pStyle w:val="17"/>
        <w:ind w:firstLine="600" w:firstLineChars="200"/>
        <w:jc w:val="both"/>
        <w:rPr>
          <w:rFonts w:hint="eastAsia" w:ascii="仿宋_GB2312" w:hAnsi="Calibri" w:eastAsia="仿宋_GB2312" w:cs="黑体"/>
          <w:color w:val="auto"/>
          <w:kern w:val="2"/>
          <w:sz w:val="30"/>
          <w:szCs w:val="30"/>
          <w:lang w:val="en-US" w:eastAsia="zh-CN" w:bidi="ar-SA"/>
        </w:rPr>
      </w:pPr>
      <w:r>
        <w:rPr>
          <w:rFonts w:hint="eastAsia" w:ascii="仿宋_GB2312" w:hAnsi="Calibri" w:eastAsia="仿宋_GB2312" w:cs="黑体"/>
          <w:color w:val="auto"/>
          <w:kern w:val="2"/>
          <w:sz w:val="30"/>
          <w:szCs w:val="30"/>
          <w:lang w:val="en-US" w:eastAsia="zh-CN" w:bidi="ar-SA"/>
        </w:rPr>
        <w:t>中共上海市委政法委员会本级2024年度预算绩效管理工作开展情况如下：全过程绩效管理实施情况：编报绩效目标的2024年度项目14个，涉及预算金额3,920.44万元；绩效跟踪评价的2024年度项目14个，涉及预算金额3,920.44万元；绩效自评的2024年度项目14个，涉及预算金额3,920.44万元，平均得分</w:t>
      </w:r>
      <w:r>
        <w:rPr>
          <w:rFonts w:hint="default" w:ascii="仿宋_GB2312" w:hAnsi="Calibri" w:eastAsia="仿宋_GB2312" w:cs="黑体"/>
          <w:color w:val="auto"/>
          <w:kern w:val="2"/>
          <w:sz w:val="30"/>
          <w:szCs w:val="30"/>
          <w:lang w:val="en" w:eastAsia="zh-CN" w:bidi="ar-SA"/>
        </w:rPr>
        <w:t>95.</w:t>
      </w:r>
      <w:r>
        <w:rPr>
          <w:rFonts w:hint="eastAsia" w:ascii="仿宋_GB2312" w:hAnsi="Calibri" w:eastAsia="仿宋_GB2312" w:cs="黑体"/>
          <w:color w:val="auto"/>
          <w:kern w:val="2"/>
          <w:sz w:val="30"/>
          <w:szCs w:val="30"/>
          <w:lang w:val="en-US" w:eastAsia="zh-CN" w:bidi="ar-SA"/>
        </w:rPr>
        <w:t>05</w:t>
      </w:r>
      <w:r>
        <w:rPr>
          <w:rFonts w:hint="eastAsia" w:ascii="仿宋_GB2312" w:hAnsi="Calibri" w:eastAsia="仿宋_GB2312" w:cs="黑体"/>
          <w:color w:val="auto"/>
          <w:kern w:val="2"/>
          <w:sz w:val="30"/>
          <w:szCs w:val="30"/>
          <w:lang w:val="en" w:eastAsia="zh-CN" w:bidi="ar-SA"/>
        </w:rPr>
        <w:t>分</w:t>
      </w:r>
      <w:r>
        <w:rPr>
          <w:rFonts w:hint="eastAsia" w:ascii="仿宋_GB2312" w:hAnsi="Calibri" w:eastAsia="仿宋_GB2312" w:cs="黑体"/>
          <w:color w:val="auto"/>
          <w:kern w:val="2"/>
          <w:sz w:val="30"/>
          <w:szCs w:val="30"/>
          <w:lang w:val="en-US" w:eastAsia="zh-CN" w:bidi="ar-SA"/>
        </w:rPr>
        <w:t>（其中，绩效评级为“优”的项目13个；绩效评级为“良”的项目1个。</w:t>
      </w:r>
    </w:p>
    <w:p>
      <w:pPr>
        <w:numPr>
          <w:ilvl w:val="0"/>
          <w:numId w:val="3"/>
        </w:numPr>
        <w:ind w:firstLine="596" w:firstLineChars="198"/>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其他重要事项的情况说明</w:t>
      </w:r>
    </w:p>
    <w:p>
      <w:pPr>
        <w:numPr>
          <w:ilvl w:val="0"/>
          <w:numId w:val="0"/>
        </w:numPr>
        <w:ind w:firstLine="600" w:firstLineChars="200"/>
        <w:jc w:val="both"/>
        <w:outlineLvl w:val="0"/>
        <w:rPr>
          <w:rFonts w:hint="eastAsia" w:ascii="仿宋_GB2312" w:hAnsi="Calibri" w:eastAsia="仿宋_GB2312" w:cs="黑体"/>
          <w:color w:val="auto"/>
          <w:kern w:val="2"/>
          <w:sz w:val="30"/>
          <w:szCs w:val="30"/>
          <w:lang w:val="en-US" w:eastAsia="zh-CN" w:bidi="ar-SA"/>
        </w:rPr>
      </w:pPr>
      <w:r>
        <w:rPr>
          <w:rFonts w:hint="eastAsia" w:ascii="仿宋_GB2312" w:hAnsi="Calibri" w:eastAsia="仿宋_GB2312" w:cs="黑体"/>
          <w:color w:val="auto"/>
          <w:kern w:val="2"/>
          <w:sz w:val="30"/>
          <w:szCs w:val="30"/>
          <w:lang w:val="en-US" w:eastAsia="zh-CN" w:bidi="ar-SA"/>
        </w:rPr>
        <w:t>中共上海市委政法委员会人员经费由上海市公安局负责向上海市财政局申请支付。</w:t>
      </w:r>
    </w:p>
    <w:p>
      <w:pPr>
        <w:ind w:firstLine="600"/>
        <w:jc w:val="both"/>
        <w:outlineLvl w:val="0"/>
        <w:rPr>
          <w:rFonts w:hint="eastAsia" w:ascii="楷体_GB2312" w:eastAsia="楷体_GB2312"/>
          <w:b/>
          <w:sz w:val="30"/>
          <w:szCs w:val="30"/>
          <w:lang w:val="en-US" w:eastAsia="zh-CN"/>
        </w:rPr>
      </w:pPr>
      <w:r>
        <w:rPr>
          <w:rFonts w:hint="eastAsia" w:ascii="楷体_GB2312" w:eastAsia="楷体_GB2312"/>
          <w:b/>
          <w:sz w:val="30"/>
          <w:szCs w:val="30"/>
          <w:lang w:val="en-US" w:eastAsia="zh-CN"/>
        </w:rPr>
        <w:t>（一）机关运行经费支出情况</w:t>
      </w:r>
    </w:p>
    <w:p>
      <w:pPr>
        <w:numPr>
          <w:ilvl w:val="0"/>
          <w:numId w:val="0"/>
        </w:numPr>
        <w:ind w:firstLine="640" w:firstLineChars="200"/>
        <w:jc w:val="both"/>
        <w:outlineLvl w:val="0"/>
        <w:rPr>
          <w:rFonts w:hint="eastAsia" w:ascii="仿宋_GB2312" w:hAnsi="Calibri" w:eastAsia="仿宋_GB2312" w:cs="黑体"/>
          <w:color w:val="auto"/>
          <w:kern w:val="2"/>
          <w:sz w:val="30"/>
          <w:szCs w:val="30"/>
          <w:lang w:val="en-US" w:eastAsia="zh-CN" w:bidi="ar-SA"/>
        </w:rPr>
      </w:pPr>
      <w:r>
        <w:rPr>
          <w:rFonts w:hint="eastAsia" w:ascii="仿宋_GB2312" w:hAnsi="Calibri" w:eastAsia="仿宋_GB2312" w:cs="黑体"/>
          <w:color w:val="auto"/>
          <w:kern w:val="2"/>
          <w:sz w:val="32"/>
          <w:szCs w:val="32"/>
          <w:lang w:val="en-US" w:eastAsia="zh-CN" w:bidi="ar-SA"/>
        </w:rPr>
        <w:t>机关运行经费支出1,628.2</w:t>
      </w:r>
      <w:r>
        <w:rPr>
          <w:rFonts w:hint="eastAsia" w:ascii="仿宋_GB2312" w:eastAsia="仿宋_GB2312" w:cs="黑体"/>
          <w:color w:val="auto"/>
          <w:kern w:val="2"/>
          <w:sz w:val="32"/>
          <w:szCs w:val="32"/>
          <w:lang w:val="en-US" w:eastAsia="zh-CN" w:bidi="ar-SA"/>
        </w:rPr>
        <w:t>5</w:t>
      </w:r>
      <w:r>
        <w:rPr>
          <w:rFonts w:hint="eastAsia" w:ascii="仿宋_GB2312" w:hAnsi="Calibri" w:eastAsia="仿宋_GB2312" w:cs="黑体"/>
          <w:color w:val="auto"/>
          <w:kern w:val="2"/>
          <w:sz w:val="32"/>
          <w:szCs w:val="32"/>
          <w:lang w:val="en-US" w:eastAsia="zh-CN" w:bidi="ar-SA"/>
        </w:rPr>
        <w:t>万元</w:t>
      </w:r>
      <w:r>
        <w:rPr>
          <w:rFonts w:hint="eastAsia" w:ascii="仿宋_GB2312" w:hAnsi="Calibri" w:eastAsia="仿宋_GB2312" w:cs="黑体"/>
          <w:color w:val="auto"/>
          <w:kern w:val="2"/>
          <w:sz w:val="30"/>
          <w:szCs w:val="30"/>
          <w:lang w:val="en-US" w:eastAsia="zh-CN" w:bidi="ar-SA"/>
        </w:rPr>
        <w:t>，比2023年度增加23.</w:t>
      </w:r>
      <w:r>
        <w:rPr>
          <w:rFonts w:hint="eastAsia" w:ascii="仿宋_GB2312" w:eastAsia="仿宋_GB2312" w:cs="黑体"/>
          <w:color w:val="auto"/>
          <w:kern w:val="2"/>
          <w:sz w:val="30"/>
          <w:szCs w:val="30"/>
          <w:lang w:val="en-US" w:eastAsia="zh-CN" w:bidi="ar-SA"/>
        </w:rPr>
        <w:t>69</w:t>
      </w:r>
      <w:r>
        <w:rPr>
          <w:rFonts w:hint="eastAsia" w:ascii="仿宋_GB2312" w:hAnsi="Calibri" w:eastAsia="仿宋_GB2312" w:cs="黑体"/>
          <w:color w:val="auto"/>
          <w:kern w:val="2"/>
          <w:sz w:val="30"/>
          <w:szCs w:val="30"/>
          <w:lang w:val="en-US" w:eastAsia="zh-CN" w:bidi="ar-SA"/>
        </w:rPr>
        <w:t>万元，增长1.4</w:t>
      </w:r>
      <w:r>
        <w:rPr>
          <w:rFonts w:hint="eastAsia" w:ascii="仿宋_GB2312" w:eastAsia="仿宋_GB2312" w:cs="黑体"/>
          <w:color w:val="auto"/>
          <w:kern w:val="2"/>
          <w:sz w:val="30"/>
          <w:szCs w:val="30"/>
          <w:lang w:val="en-US" w:eastAsia="zh-CN" w:bidi="ar-SA"/>
        </w:rPr>
        <w:t>8</w:t>
      </w:r>
      <w:r>
        <w:rPr>
          <w:rFonts w:hint="eastAsia" w:ascii="仿宋_GB2312" w:hAnsi="Calibri" w:eastAsia="仿宋_GB2312" w:cs="黑体"/>
          <w:color w:val="auto"/>
          <w:kern w:val="2"/>
          <w:sz w:val="30"/>
          <w:szCs w:val="30"/>
          <w:lang w:val="en-US" w:eastAsia="zh-CN" w:bidi="ar-SA"/>
        </w:rPr>
        <w:t>%。主要原因是电费支出增加。</w:t>
      </w:r>
    </w:p>
    <w:p>
      <w:pPr>
        <w:ind w:firstLine="602" w:firstLineChars="200"/>
        <w:jc w:val="both"/>
        <w:outlineLvl w:val="0"/>
        <w:rPr>
          <w:rFonts w:hint="eastAsia" w:ascii="楷体_GB2312" w:hAnsi="宋体" w:eastAsia="楷体_GB2312" w:cs="楷体"/>
          <w:b/>
          <w:bCs/>
          <w:sz w:val="30"/>
          <w:szCs w:val="30"/>
          <w:lang w:val="en-US" w:eastAsia="zh-CN"/>
        </w:rPr>
      </w:pPr>
      <w:r>
        <w:rPr>
          <w:rFonts w:hint="eastAsia" w:ascii="楷体_GB2312" w:hAnsi="宋体" w:eastAsia="楷体_GB2312" w:cs="楷体"/>
          <w:b/>
          <w:bCs/>
          <w:sz w:val="30"/>
          <w:szCs w:val="30"/>
          <w:lang w:val="en-US" w:eastAsia="zh-CN"/>
        </w:rPr>
        <w:t>（二）政府采购支出情况</w:t>
      </w:r>
    </w:p>
    <w:p>
      <w:pPr>
        <w:numPr>
          <w:ilvl w:val="0"/>
          <w:numId w:val="0"/>
        </w:numPr>
        <w:ind w:firstLine="600" w:firstLineChars="200"/>
        <w:jc w:val="both"/>
        <w:outlineLvl w:val="0"/>
        <w:rPr>
          <w:rFonts w:hint="eastAsia" w:ascii="仿宋_GB2312" w:hAnsi="Calibri" w:eastAsia="仿宋_GB2312" w:cs="黑体"/>
          <w:color w:val="auto"/>
          <w:kern w:val="2"/>
          <w:sz w:val="30"/>
          <w:szCs w:val="30"/>
          <w:lang w:val="en-US" w:eastAsia="zh-CN" w:bidi="ar-SA"/>
        </w:rPr>
      </w:pPr>
      <w:r>
        <w:rPr>
          <w:rFonts w:hint="eastAsia" w:ascii="仿宋_GB2312" w:hAnsi="Calibri" w:eastAsia="仿宋_GB2312" w:cs="黑体"/>
          <w:color w:val="auto"/>
          <w:kern w:val="2"/>
          <w:sz w:val="30"/>
          <w:szCs w:val="30"/>
          <w:lang w:val="en-US" w:eastAsia="zh-CN" w:bidi="ar-SA"/>
        </w:rPr>
        <w:t>中共上海市委政法委员会本级2024年度政府采购金额（以合同签订为准）为</w:t>
      </w:r>
      <w:r>
        <w:rPr>
          <w:rFonts w:hint="default" w:ascii="仿宋_GB2312" w:hAnsi="Calibri" w:eastAsia="仿宋_GB2312" w:cs="黑体"/>
          <w:color w:val="auto"/>
          <w:kern w:val="2"/>
          <w:sz w:val="30"/>
          <w:szCs w:val="30"/>
          <w:lang w:val="en" w:eastAsia="zh-CN" w:bidi="ar-SA"/>
        </w:rPr>
        <w:t>639.53</w:t>
      </w:r>
      <w:r>
        <w:rPr>
          <w:rFonts w:hint="eastAsia" w:ascii="仿宋_GB2312" w:hAnsi="Calibri" w:eastAsia="仿宋_GB2312" w:cs="黑体"/>
          <w:color w:val="auto"/>
          <w:kern w:val="2"/>
          <w:sz w:val="30"/>
          <w:szCs w:val="30"/>
          <w:lang w:val="en-US" w:eastAsia="zh-CN" w:bidi="ar-SA"/>
        </w:rPr>
        <w:t>万元，其中：货物采购金额1</w:t>
      </w:r>
      <w:r>
        <w:rPr>
          <w:rFonts w:hint="default" w:ascii="仿宋_GB2312" w:hAnsi="Calibri" w:eastAsia="仿宋_GB2312" w:cs="黑体"/>
          <w:color w:val="auto"/>
          <w:kern w:val="2"/>
          <w:sz w:val="30"/>
          <w:szCs w:val="30"/>
          <w:lang w:val="en" w:eastAsia="zh-CN" w:bidi="ar-SA"/>
        </w:rPr>
        <w:t>0.05</w:t>
      </w:r>
      <w:r>
        <w:rPr>
          <w:rFonts w:hint="eastAsia" w:ascii="仿宋_GB2312" w:hAnsi="Calibri" w:eastAsia="仿宋_GB2312" w:cs="黑体"/>
          <w:color w:val="auto"/>
          <w:kern w:val="2"/>
          <w:sz w:val="30"/>
          <w:szCs w:val="30"/>
          <w:lang w:val="en-US" w:eastAsia="zh-CN" w:bidi="ar-SA"/>
        </w:rPr>
        <w:t>万元、服务采购金额</w:t>
      </w:r>
      <w:r>
        <w:rPr>
          <w:rFonts w:hint="default" w:ascii="仿宋_GB2312" w:hAnsi="Calibri" w:eastAsia="仿宋_GB2312" w:cs="黑体"/>
          <w:color w:val="auto"/>
          <w:kern w:val="2"/>
          <w:sz w:val="30"/>
          <w:szCs w:val="30"/>
          <w:lang w:val="en" w:eastAsia="zh-CN" w:bidi="ar-SA"/>
        </w:rPr>
        <w:t>629.48</w:t>
      </w:r>
      <w:r>
        <w:rPr>
          <w:rFonts w:hint="eastAsia" w:ascii="仿宋_GB2312" w:hAnsi="Calibri" w:eastAsia="仿宋_GB2312" w:cs="黑体"/>
          <w:color w:val="auto"/>
          <w:kern w:val="2"/>
          <w:sz w:val="30"/>
          <w:szCs w:val="30"/>
          <w:lang w:val="en-US" w:eastAsia="zh-CN" w:bidi="ar-SA"/>
        </w:rPr>
        <w:t>万元。</w:t>
      </w:r>
    </w:p>
    <w:p>
      <w:pPr>
        <w:numPr>
          <w:ilvl w:val="0"/>
          <w:numId w:val="4"/>
        </w:numPr>
        <w:spacing w:line="570" w:lineRule="exact"/>
        <w:ind w:firstLine="641" w:firstLineChars="213"/>
        <w:jc w:val="both"/>
        <w:rPr>
          <w:rFonts w:hint="eastAsia" w:ascii="楷体_GB2312" w:hAnsi="宋体" w:eastAsia="楷体_GB2312" w:cs="楷体"/>
          <w:b/>
          <w:bCs/>
          <w:color w:val="000000"/>
          <w:kern w:val="0"/>
          <w:sz w:val="30"/>
          <w:szCs w:val="30"/>
          <w:lang w:val="en-US" w:eastAsia="zh-CN"/>
        </w:rPr>
      </w:pPr>
      <w:r>
        <w:rPr>
          <w:rFonts w:hint="eastAsia" w:ascii="楷体_GB2312" w:hAnsi="宋体" w:eastAsia="楷体_GB2312" w:cs="楷体"/>
          <w:b/>
          <w:bCs/>
          <w:color w:val="000000"/>
          <w:kern w:val="0"/>
          <w:sz w:val="30"/>
          <w:szCs w:val="30"/>
          <w:lang w:val="en-US" w:eastAsia="zh-CN"/>
        </w:rPr>
        <w:t>国有资产占有使用情况说明</w:t>
      </w:r>
    </w:p>
    <w:p>
      <w:pPr>
        <w:spacing w:line="570" w:lineRule="exact"/>
        <w:ind w:firstLine="600" w:firstLineChars="200"/>
        <w:jc w:val="both"/>
        <w:rPr>
          <w:rFonts w:hint="eastAsia" w:ascii="楷体_GB2312" w:hAnsi="宋体" w:eastAsia="楷体_GB2312" w:cs="楷体"/>
          <w:b/>
          <w:bCs/>
          <w:color w:val="000000"/>
          <w:kern w:val="0"/>
          <w:sz w:val="30"/>
          <w:szCs w:val="30"/>
          <w:lang w:val="en-US" w:eastAsia="zh-CN"/>
        </w:rPr>
      </w:pPr>
      <w:r>
        <w:rPr>
          <w:rFonts w:ascii="Times New Roman" w:hAnsi="Times New Roman" w:eastAsia="仿宋_GB2312" w:cs="Times New Roman"/>
          <w:color w:val="000000"/>
          <w:sz w:val="30"/>
          <w:szCs w:val="30"/>
          <w:lang w:val="en-US" w:eastAsia="zh-CN"/>
        </w:rPr>
        <w:t>截至2024年12月31日，</w:t>
      </w:r>
      <w:r>
        <w:rPr>
          <w:rFonts w:hint="eastAsia" w:ascii="黑体" w:eastAsia="黑体"/>
          <w:sz w:val="30"/>
          <w:szCs w:val="30"/>
          <w:lang w:val="en-US" w:eastAsia="zh-CN"/>
        </w:rPr>
        <w:t>中共上海市委政法委员会本级</w:t>
      </w:r>
      <w:r>
        <w:rPr>
          <w:rFonts w:ascii="Times New Roman" w:hAnsi="Times New Roman" w:eastAsia="仿宋_GB2312" w:cs="Times New Roman"/>
          <w:color w:val="000000"/>
          <w:sz w:val="30"/>
          <w:szCs w:val="30"/>
          <w:lang w:val="en-US" w:eastAsia="zh-CN"/>
        </w:rPr>
        <w:t>共有车辆</w:t>
      </w:r>
      <w:r>
        <w:rPr>
          <w:rFonts w:hint="eastAsia" w:ascii="Times New Roman" w:hAnsi="Times New Roman" w:eastAsia="仿宋_GB2312" w:cs="Times New Roman"/>
          <w:color w:val="000000"/>
          <w:sz w:val="30"/>
          <w:szCs w:val="30"/>
          <w:lang w:val="en-US" w:eastAsia="zh-CN"/>
        </w:rPr>
        <w:t>14</w:t>
      </w:r>
      <w:r>
        <w:rPr>
          <w:rFonts w:ascii="Times New Roman" w:hAnsi="Times New Roman" w:eastAsia="仿宋_GB2312" w:cs="Times New Roman"/>
          <w:color w:val="000000"/>
          <w:sz w:val="30"/>
          <w:szCs w:val="30"/>
          <w:lang w:val="en-US" w:eastAsia="zh-CN"/>
        </w:rPr>
        <w:t>辆，其中：部级领导干部用车</w:t>
      </w:r>
      <w:r>
        <w:rPr>
          <w:rFonts w:hint="eastAsia" w:ascii="Times New Roman" w:hAnsi="Times New Roman" w:eastAsia="仿宋_GB2312" w:cs="Times New Roman"/>
          <w:color w:val="000000"/>
          <w:sz w:val="30"/>
          <w:szCs w:val="30"/>
          <w:lang w:val="en-US" w:eastAsia="zh-CN"/>
        </w:rPr>
        <w:t>2</w:t>
      </w:r>
      <w:r>
        <w:rPr>
          <w:rFonts w:ascii="Times New Roman" w:hAnsi="Times New Roman" w:eastAsia="仿宋_GB2312" w:cs="Times New Roman"/>
          <w:color w:val="000000"/>
          <w:sz w:val="30"/>
          <w:szCs w:val="30"/>
          <w:lang w:val="en-US" w:eastAsia="zh-CN"/>
        </w:rPr>
        <w:t>辆、主要领导干部用车</w:t>
      </w:r>
      <w:r>
        <w:rPr>
          <w:rFonts w:hint="eastAsia" w:ascii="Times New Roman" w:hAnsi="Times New Roman" w:eastAsia="仿宋_GB2312" w:cs="Times New Roman"/>
          <w:color w:val="000000"/>
          <w:sz w:val="30"/>
          <w:szCs w:val="30"/>
          <w:lang w:val="en-US" w:eastAsia="zh-CN"/>
        </w:rPr>
        <w:t>1</w:t>
      </w:r>
      <w:r>
        <w:rPr>
          <w:rFonts w:ascii="Times New Roman" w:hAnsi="Times New Roman" w:eastAsia="仿宋_GB2312" w:cs="Times New Roman"/>
          <w:color w:val="000000"/>
          <w:sz w:val="30"/>
          <w:szCs w:val="30"/>
          <w:lang w:val="en-US" w:eastAsia="zh-CN"/>
        </w:rPr>
        <w:t>辆、机要通信用车</w:t>
      </w:r>
      <w:r>
        <w:rPr>
          <w:rFonts w:hint="eastAsia" w:ascii="Times New Roman" w:hAnsi="Times New Roman" w:eastAsia="仿宋_GB2312" w:cs="Times New Roman"/>
          <w:color w:val="000000"/>
          <w:sz w:val="30"/>
          <w:szCs w:val="30"/>
          <w:lang w:val="en-US" w:eastAsia="zh-CN"/>
        </w:rPr>
        <w:t>2</w:t>
      </w:r>
      <w:r>
        <w:rPr>
          <w:rFonts w:ascii="Times New Roman" w:hAnsi="Times New Roman" w:eastAsia="仿宋_GB2312" w:cs="Times New Roman"/>
          <w:color w:val="000000"/>
          <w:sz w:val="30"/>
          <w:szCs w:val="30"/>
          <w:lang w:val="en-US" w:eastAsia="zh-CN"/>
        </w:rPr>
        <w:t>辆、应急保障用车</w:t>
      </w:r>
      <w:r>
        <w:rPr>
          <w:rFonts w:hint="eastAsia" w:ascii="Times New Roman" w:hAnsi="Times New Roman" w:eastAsia="仿宋_GB2312" w:cs="Times New Roman"/>
          <w:color w:val="000000"/>
          <w:sz w:val="30"/>
          <w:szCs w:val="30"/>
          <w:lang w:val="en-US" w:eastAsia="zh-CN"/>
        </w:rPr>
        <w:t>2</w:t>
      </w:r>
      <w:r>
        <w:rPr>
          <w:rFonts w:ascii="Times New Roman" w:hAnsi="Times New Roman" w:eastAsia="仿宋_GB2312" w:cs="Times New Roman"/>
          <w:color w:val="000000"/>
          <w:sz w:val="30"/>
          <w:szCs w:val="30"/>
          <w:lang w:val="en-US" w:eastAsia="zh-CN"/>
        </w:rPr>
        <w:t>辆、离退休干部用车</w:t>
      </w:r>
      <w:r>
        <w:rPr>
          <w:rFonts w:hint="eastAsia" w:ascii="Times New Roman" w:hAnsi="Times New Roman" w:eastAsia="仿宋_GB2312" w:cs="Times New Roman"/>
          <w:color w:val="000000"/>
          <w:sz w:val="30"/>
          <w:szCs w:val="30"/>
          <w:lang w:val="en-US" w:eastAsia="zh-CN"/>
        </w:rPr>
        <w:t>1</w:t>
      </w:r>
      <w:r>
        <w:rPr>
          <w:rFonts w:ascii="Times New Roman" w:hAnsi="Times New Roman" w:eastAsia="仿宋_GB2312" w:cs="Times New Roman"/>
          <w:color w:val="000000"/>
          <w:sz w:val="30"/>
          <w:szCs w:val="30"/>
          <w:lang w:val="en-US" w:eastAsia="zh-CN"/>
        </w:rPr>
        <w:t>辆、其他用车</w:t>
      </w:r>
      <w:r>
        <w:rPr>
          <w:rFonts w:hint="eastAsia" w:ascii="Times New Roman" w:hAnsi="Times New Roman" w:eastAsia="仿宋_GB2312" w:cs="Times New Roman"/>
          <w:color w:val="000000"/>
          <w:sz w:val="30"/>
          <w:szCs w:val="30"/>
          <w:lang w:val="en-US" w:eastAsia="zh-CN"/>
        </w:rPr>
        <w:t>6</w:t>
      </w:r>
      <w:r>
        <w:rPr>
          <w:rFonts w:ascii="Times New Roman" w:hAnsi="Times New Roman" w:eastAsia="仿宋_GB2312" w:cs="Times New Roman"/>
          <w:color w:val="000000"/>
          <w:sz w:val="30"/>
          <w:szCs w:val="30"/>
          <w:lang w:val="en-US" w:eastAsia="zh-CN"/>
        </w:rPr>
        <w:t>辆。单价100万元（含）以上设备（不含车辆）</w:t>
      </w:r>
      <w:r>
        <w:rPr>
          <w:rFonts w:hint="eastAsia" w:ascii="Times New Roman" w:hAnsi="Times New Roman" w:eastAsia="仿宋_GB2312" w:cs="Times New Roman"/>
          <w:color w:val="000000"/>
          <w:sz w:val="30"/>
          <w:szCs w:val="30"/>
          <w:lang w:val="en-US" w:eastAsia="zh-CN"/>
        </w:rPr>
        <w:t>0</w:t>
      </w:r>
      <w:r>
        <w:rPr>
          <w:rFonts w:ascii="Times New Roman" w:hAnsi="Times New Roman" w:eastAsia="仿宋_GB2312" w:cs="Times New Roman"/>
          <w:color w:val="000000"/>
          <w:sz w:val="30"/>
          <w:szCs w:val="30"/>
          <w:lang w:val="en-US" w:eastAsia="zh-CN"/>
        </w:rPr>
        <w:t>台（套）。</w:t>
      </w:r>
    </w:p>
    <w:p>
      <w:pPr>
        <w:spacing w:line="570" w:lineRule="exact"/>
        <w:jc w:val="both"/>
        <w:rPr>
          <w:rFonts w:hint="eastAsia" w:ascii="楷体_GB2312" w:hAnsi="宋体" w:eastAsia="楷体_GB2312" w:cs="楷体"/>
          <w:b/>
          <w:bCs/>
          <w:color w:val="000000"/>
          <w:kern w:val="0"/>
          <w:sz w:val="30"/>
          <w:szCs w:val="30"/>
          <w:lang w:val="en-US" w:eastAsia="zh-CN"/>
        </w:rPr>
      </w:pPr>
    </w:p>
    <w:p>
      <w:pPr>
        <w:jc w:val="center"/>
        <w:rPr>
          <w:rFonts w:hint="eastAsia" w:ascii="黑体" w:eastAsia="黑体"/>
          <w:sz w:val="30"/>
          <w:szCs w:val="30"/>
          <w:lang w:val="en-US" w:eastAsia="zh-CN"/>
        </w:rPr>
      </w:pPr>
      <w:r>
        <w:rPr>
          <w:rFonts w:ascii="仿宋_GB2312" w:eastAsia="仿宋_GB2312"/>
          <w:sz w:val="30"/>
          <w:szCs w:val="30"/>
          <w:lang w:val="en-US" w:eastAsia="zh-CN"/>
        </w:rPr>
        <w:br w:type="page"/>
      </w:r>
      <w:r>
        <w:rPr>
          <w:rFonts w:hint="eastAsia" w:ascii="黑体" w:eastAsia="黑体"/>
          <w:sz w:val="30"/>
          <w:szCs w:val="30"/>
          <w:lang w:val="en-US" w:eastAsia="zh-CN"/>
        </w:rPr>
        <w:t>第四部分    名词解释</w:t>
      </w:r>
    </w:p>
    <w:p>
      <w:pPr>
        <w:jc w:val="both"/>
        <w:rPr>
          <w:rFonts w:hint="eastAsia" w:ascii="仿宋_GB2312" w:hAnsi="宋体" w:eastAsia="仿宋_GB2312" w:cs="仿宋_GB2312"/>
          <w:color w:val="000000"/>
          <w:sz w:val="30"/>
          <w:szCs w:val="30"/>
          <w:lang w:val="en-US" w:eastAsia="zh-CN"/>
        </w:rPr>
      </w:pP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一、财政拨款收入：指单位本年度从本级财政部门取得的财政拨款，包括一般公共预算财政拨款、政府性基金预算财政拨款和国有资本经营预算财政拨款。</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二、事业收入：指事业单位开展专业业务活动及其辅助活动取得的收入。</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三、经营收入：指事业单位在专业业务活动及其辅助活动之外开展非独立核算经营活动取得的收入。</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四、其他收入：指单位取得的除“财政拨款收入”、“事业收入”、“经营收入”等以外的收入。</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五、年初结转和结余：指以前年度尚未完成、结转到本年按有关规定继续使用的资金。</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六、年末结转和结余：指本年度或以前年度预算安排、因客观条件发生变化无法按原计划实施，需延迟到以后年度按有关规定继续使用的资金。</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七、基本支出：指单位为保障机构正常运转、完成日常工作任务而发生的各项支出。</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八、项目支出：指单位为完成特定的行政工作任务或事业发展目标，在基本支出之外发生的各项支出。</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九、经营支出：指事业单位在专业活动及辅助活动之外开展非独立核算经营活动发生的支出。</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十、“三公”经费：指单位使用本级财政拨款安排的因公出国（境）费、公务用车购置及运行维护费和公务接待费。其中:因公出国（境）费反映单位参加国际合作交流、重大项目洽谈、境外培训研修等的国际旅费、国外城市间交通费、住宿费、伙食费、培训费、公杂费等支出；公务接待费反映全国性专业会议、国家重大政策调研、专项检查以及外事团组接待交流等执行公务或开展业务所需住宿费、交通费、伙食费等支出；公务用车购置及运行维护费反映编制内公务车辆的报废更新，以及用于安排市内因公出差、公务文件交换、日常工作开展等所需公务用车燃料费、维修费、过路过桥费、保险费等支出。</w:t>
      </w:r>
    </w:p>
    <w:p>
      <w:pPr>
        <w:ind w:firstLine="600" w:firstLineChars="200"/>
        <w:jc w:val="both"/>
        <w:rPr>
          <w:rFonts w:hint="eastAsia" w:ascii="仿宋_GB2312" w:eastAsia="仿宋_GB2312"/>
          <w:sz w:val="30"/>
          <w:szCs w:val="30"/>
          <w:lang w:val="en-US" w:eastAsia="zh-CN"/>
        </w:rPr>
      </w:pPr>
      <w:r>
        <w:rPr>
          <w:rFonts w:hint="eastAsia" w:ascii="仿宋_GB2312" w:eastAsia="仿宋_GB2312"/>
          <w:sz w:val="30"/>
          <w:szCs w:val="30"/>
          <w:lang w:val="en-US" w:eastAsia="zh-CN"/>
        </w:rPr>
        <w:t>十一、机关运行经费：指行政单位和参照公务员法管理的事业单位使用一般公共预算财政拨款安排的基本支出中的日常公用经费支出。</w:t>
      </w:r>
    </w:p>
    <w:p>
      <w:pPr>
        <w:ind w:firstLine="600" w:firstLineChars="200"/>
        <w:jc w:val="both"/>
        <w:rPr>
          <w:rFonts w:hint="eastAsia" w:ascii="仿宋_GB2312" w:eastAsia="仿宋_GB2312"/>
          <w:sz w:val="30"/>
          <w:szCs w:val="30"/>
          <w:lang w:val="en-US" w:eastAsia="zh-CN"/>
        </w:rPr>
      </w:pPr>
    </w:p>
    <w:sectPr>
      <w:headerReference r:id="rId7" w:type="default"/>
      <w:footerReference r:id="rId8" w:type="default"/>
      <w:pgSz w:w="11906" w:h="16838"/>
      <w:pgMar w:top="1440" w:right="1797" w:bottom="1440" w:left="179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00"/>
    <w:family w:val="auto"/>
    <w:pitch w:val="default"/>
    <w:sig w:usb0="00000000" w:usb1="00000000" w:usb2="00000010" w:usb3="00000000" w:csb0="0004009F" w:csb1="00000000"/>
  </w:font>
  <w:font w:name="楷体_GB2312">
    <w:altName w:val="方正楷体_GBK"/>
    <w:panose1 w:val="02010609030101010101"/>
    <w:charset w:val="00"/>
    <w:family w:val="modern"/>
    <w:pitch w:val="default"/>
    <w:sig w:usb0="00000000" w:usb1="00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书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00"/>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lang w:val="en-US"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center"/>
      <w:rPr>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center"/>
      <w:rPr>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center"/>
      <w:rPr>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6A10FE"/>
    <w:multiLevelType w:val="singleLevel"/>
    <w:tmpl w:val="F76A10FE"/>
    <w:lvl w:ilvl="0" w:tentative="0">
      <w:start w:val="11"/>
      <w:numFmt w:val="chineseCounting"/>
      <w:suff w:val="nothing"/>
      <w:lvlText w:val="%1、"/>
      <w:lvlJc w:val="left"/>
      <w:rPr>
        <w:rFonts w:hint="eastAsia"/>
      </w:rPr>
    </w:lvl>
  </w:abstractNum>
  <w:abstractNum w:abstractNumId="1">
    <w:nsid w:val="FE7C9459"/>
    <w:multiLevelType w:val="singleLevel"/>
    <w:tmpl w:val="FE7C9459"/>
    <w:lvl w:ilvl="0" w:tentative="0">
      <w:start w:val="1"/>
      <w:numFmt w:val="chineseCounting"/>
      <w:suff w:val="nothing"/>
      <w:lvlText w:val="%1、"/>
      <w:lvlJc w:val="left"/>
      <w:rPr>
        <w:rFonts w:hint="eastAsia"/>
      </w:rPr>
    </w:lvl>
  </w:abstractNum>
  <w:abstractNum w:abstractNumId="2">
    <w:nsid w:val="00000001"/>
    <w:multiLevelType w:val="singleLevel"/>
    <w:tmpl w:val="00000001"/>
    <w:lvl w:ilvl="0" w:tentative="0">
      <w:start w:val="3"/>
      <w:numFmt w:val="chineseCounting"/>
      <w:suff w:val="nothing"/>
      <w:lvlText w:val="（%1）"/>
      <w:lvlJc w:val="left"/>
      <w:rPr>
        <w:rFonts w:hint="eastAsia"/>
      </w:rPr>
    </w:lvl>
  </w:abstractNum>
  <w:abstractNum w:abstractNumId="3">
    <w:nsid w:val="00000002"/>
    <w:multiLevelType w:val="multilevel"/>
    <w:tmpl w:val="00000002"/>
    <w:lvl w:ilvl="0" w:tentative="0">
      <w:start w:val="1"/>
      <w:numFmt w:val="japaneseCounting"/>
      <w:pStyle w:val="2"/>
      <w:lvlText w:val="第%1章"/>
      <w:lvlJc w:val="left"/>
      <w:pPr>
        <w:tabs>
          <w:tab w:val="left" w:pos="3199"/>
        </w:tabs>
        <w:ind w:left="3199" w:hanging="720"/>
      </w:pPr>
    </w:lvl>
    <w:lvl w:ilvl="1" w:tentative="0">
      <w:start w:val="1"/>
      <w:numFmt w:val="decimal"/>
      <w:pStyle w:val="3"/>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consecutiveHyphenLimit w:val="46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7FEB79"/>
    <w:rsid w:val="09E91174"/>
    <w:rsid w:val="0FD63862"/>
    <w:rsid w:val="148C18DE"/>
    <w:rsid w:val="1B4FA4ED"/>
    <w:rsid w:val="1CFD4ABB"/>
    <w:rsid w:val="1E7D970A"/>
    <w:rsid w:val="1EFF2436"/>
    <w:rsid w:val="1F45DF52"/>
    <w:rsid w:val="1FACF76A"/>
    <w:rsid w:val="23771F4D"/>
    <w:rsid w:val="237FEB79"/>
    <w:rsid w:val="2BF73E58"/>
    <w:rsid w:val="2FCDDB48"/>
    <w:rsid w:val="2FFC88F6"/>
    <w:rsid w:val="33FA8B35"/>
    <w:rsid w:val="34DD0E5E"/>
    <w:rsid w:val="377F644B"/>
    <w:rsid w:val="37D59BB3"/>
    <w:rsid w:val="37FF48EA"/>
    <w:rsid w:val="3BD81753"/>
    <w:rsid w:val="3D7FA019"/>
    <w:rsid w:val="3D7FEB45"/>
    <w:rsid w:val="3F7CD2C4"/>
    <w:rsid w:val="4F275E75"/>
    <w:rsid w:val="4FFF58CE"/>
    <w:rsid w:val="55EF8801"/>
    <w:rsid w:val="5B796326"/>
    <w:rsid w:val="5DDFCBFC"/>
    <w:rsid w:val="5EEB948F"/>
    <w:rsid w:val="5EFCAD59"/>
    <w:rsid w:val="5F57352A"/>
    <w:rsid w:val="5F76AFF9"/>
    <w:rsid w:val="5FB6CB81"/>
    <w:rsid w:val="5FCBBFAA"/>
    <w:rsid w:val="5FDF106D"/>
    <w:rsid w:val="5FEF75FF"/>
    <w:rsid w:val="5FF70FAB"/>
    <w:rsid w:val="5FFFBEC7"/>
    <w:rsid w:val="633F6635"/>
    <w:rsid w:val="64FD5D27"/>
    <w:rsid w:val="67D6516C"/>
    <w:rsid w:val="67DF5307"/>
    <w:rsid w:val="6BFFA125"/>
    <w:rsid w:val="6DEFC333"/>
    <w:rsid w:val="6DF7D183"/>
    <w:rsid w:val="6FBBF909"/>
    <w:rsid w:val="6FF9919E"/>
    <w:rsid w:val="6FFE30AF"/>
    <w:rsid w:val="6FFFD8C8"/>
    <w:rsid w:val="71FFA951"/>
    <w:rsid w:val="73FAA507"/>
    <w:rsid w:val="766A7D7D"/>
    <w:rsid w:val="769FBF3A"/>
    <w:rsid w:val="76BC56D1"/>
    <w:rsid w:val="76CF5C11"/>
    <w:rsid w:val="76DC3002"/>
    <w:rsid w:val="779BAC34"/>
    <w:rsid w:val="77BF09CD"/>
    <w:rsid w:val="77DBF0E6"/>
    <w:rsid w:val="7B7F10B5"/>
    <w:rsid w:val="7BB7FE00"/>
    <w:rsid w:val="7BE776CE"/>
    <w:rsid w:val="7BED1D77"/>
    <w:rsid w:val="7CFE2DEF"/>
    <w:rsid w:val="7ED9ED0F"/>
    <w:rsid w:val="7F5AAB67"/>
    <w:rsid w:val="7FC38138"/>
    <w:rsid w:val="7FC79D98"/>
    <w:rsid w:val="7FE63142"/>
    <w:rsid w:val="7FED4B86"/>
    <w:rsid w:val="7FFD004A"/>
    <w:rsid w:val="7FFDC6E7"/>
    <w:rsid w:val="7FFF8F15"/>
    <w:rsid w:val="7FFFB63F"/>
    <w:rsid w:val="8D5FBB5C"/>
    <w:rsid w:val="8DD732F0"/>
    <w:rsid w:val="9F7D3B90"/>
    <w:rsid w:val="A3FDF652"/>
    <w:rsid w:val="A9375A20"/>
    <w:rsid w:val="ABF540B2"/>
    <w:rsid w:val="AF38A46C"/>
    <w:rsid w:val="B6DF6C30"/>
    <w:rsid w:val="BB76213B"/>
    <w:rsid w:val="BBDFE0F3"/>
    <w:rsid w:val="BDBFD6F0"/>
    <w:rsid w:val="BDEF8E79"/>
    <w:rsid w:val="BEAE6092"/>
    <w:rsid w:val="BF6E061B"/>
    <w:rsid w:val="BF8B43A5"/>
    <w:rsid w:val="BFBF5B3E"/>
    <w:rsid w:val="C37FF3A9"/>
    <w:rsid w:val="C7BE755D"/>
    <w:rsid w:val="CDCEFC8B"/>
    <w:rsid w:val="CFEDDDB9"/>
    <w:rsid w:val="D2F99EC6"/>
    <w:rsid w:val="D7BF5278"/>
    <w:rsid w:val="D7FD99E3"/>
    <w:rsid w:val="DB6A6BE2"/>
    <w:rsid w:val="DBFA0667"/>
    <w:rsid w:val="DCDD9341"/>
    <w:rsid w:val="DDE7E2D0"/>
    <w:rsid w:val="DEAF97D7"/>
    <w:rsid w:val="DEC3B1A8"/>
    <w:rsid w:val="DEDFF8C1"/>
    <w:rsid w:val="DF6FC408"/>
    <w:rsid w:val="DF9F1416"/>
    <w:rsid w:val="DFA20CB7"/>
    <w:rsid w:val="DFB58B1F"/>
    <w:rsid w:val="E17D0AEF"/>
    <w:rsid w:val="E6ACD5E0"/>
    <w:rsid w:val="E7A1515B"/>
    <w:rsid w:val="E9DD4D47"/>
    <w:rsid w:val="EB6F1713"/>
    <w:rsid w:val="EDBFFD43"/>
    <w:rsid w:val="EF4FAF6C"/>
    <w:rsid w:val="EF7D23ED"/>
    <w:rsid w:val="EF7E8D06"/>
    <w:rsid w:val="EFA674A9"/>
    <w:rsid w:val="EFBFF8CB"/>
    <w:rsid w:val="EFC37598"/>
    <w:rsid w:val="EFFF4446"/>
    <w:rsid w:val="EFFF9616"/>
    <w:rsid w:val="F1E97C25"/>
    <w:rsid w:val="F2E7EA66"/>
    <w:rsid w:val="F4FBDE3B"/>
    <w:rsid w:val="F5A2767B"/>
    <w:rsid w:val="F7CECE8E"/>
    <w:rsid w:val="F7F714A2"/>
    <w:rsid w:val="F7FF7904"/>
    <w:rsid w:val="FAFB9D72"/>
    <w:rsid w:val="FB7B0FEC"/>
    <w:rsid w:val="FB9E5A37"/>
    <w:rsid w:val="FBA711B3"/>
    <w:rsid w:val="FBDFBCB3"/>
    <w:rsid w:val="FBF992A4"/>
    <w:rsid w:val="FBFAFF18"/>
    <w:rsid w:val="FC3777FD"/>
    <w:rsid w:val="FD9F094A"/>
    <w:rsid w:val="FDBAE3AD"/>
    <w:rsid w:val="FDDFE3C8"/>
    <w:rsid w:val="FDEFC108"/>
    <w:rsid w:val="FDFE6EF5"/>
    <w:rsid w:val="FEDD0773"/>
    <w:rsid w:val="FEF99838"/>
    <w:rsid w:val="FEFD7565"/>
    <w:rsid w:val="FF353B35"/>
    <w:rsid w:val="FF5E4FD0"/>
    <w:rsid w:val="FF7B4D9C"/>
    <w:rsid w:val="FFBEF0E2"/>
    <w:rsid w:val="FFDF3819"/>
    <w:rsid w:val="FFE74EE7"/>
    <w:rsid w:val="FFEF0EAF"/>
    <w:rsid w:val="FFF74F32"/>
    <w:rsid w:val="FFF950D1"/>
    <w:rsid w:val="FFFB7C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12"/>
    <w:qFormat/>
    <w:uiPriority w:val="0"/>
    <w:pPr>
      <w:keepNext/>
      <w:keepLines/>
      <w:numPr>
        <w:ilvl w:val="0"/>
        <w:numId w:val="1"/>
      </w:numPr>
      <w:spacing w:before="340" w:after="330" w:line="578" w:lineRule="auto"/>
      <w:jc w:val="both"/>
      <w:outlineLvl w:val="0"/>
    </w:pPr>
    <w:rPr>
      <w:rFonts w:ascii="Times New Roman" w:hAnsi="Times New Roman" w:cs="Times New Roman"/>
      <w:b/>
      <w:bCs/>
      <w:kern w:val="44"/>
      <w:sz w:val="44"/>
      <w:szCs w:val="44"/>
      <w:lang w:val="en-US" w:eastAsia="zh-CN"/>
    </w:rPr>
  </w:style>
  <w:style w:type="paragraph" w:styleId="3">
    <w:name w:val="heading 2"/>
    <w:basedOn w:val="1"/>
    <w:next w:val="1"/>
    <w:link w:val="13"/>
    <w:qFormat/>
    <w:uiPriority w:val="0"/>
    <w:pPr>
      <w:keepNext/>
      <w:keepLines/>
      <w:numPr>
        <w:ilvl w:val="1"/>
        <w:numId w:val="1"/>
      </w:numPr>
      <w:spacing w:before="260" w:after="260" w:line="416" w:lineRule="auto"/>
      <w:jc w:val="both"/>
      <w:outlineLvl w:val="1"/>
    </w:pPr>
    <w:rPr>
      <w:rFonts w:ascii="Arial" w:hAnsi="Arial" w:eastAsia="黑体" w:cs="Times New Roman"/>
      <w:b/>
      <w:bCs/>
      <w:sz w:val="32"/>
      <w:szCs w:val="32"/>
      <w:lang w:val="en-US" w:eastAsia="zh-CN"/>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Document Map"/>
    <w:basedOn w:val="1"/>
    <w:link w:val="14"/>
    <w:qFormat/>
    <w:uiPriority w:val="0"/>
    <w:pPr>
      <w:jc w:val="both"/>
    </w:pPr>
    <w:rPr>
      <w:rFonts w:ascii="宋体"/>
      <w:sz w:val="18"/>
      <w:szCs w:val="18"/>
      <w:lang w:val="en-US" w:eastAsia="zh-CN"/>
    </w:rPr>
  </w:style>
  <w:style w:type="paragraph" w:styleId="5">
    <w:name w:val="footer"/>
    <w:basedOn w:val="1"/>
    <w:qFormat/>
    <w:uiPriority w:val="0"/>
    <w:pPr>
      <w:tabs>
        <w:tab w:val="center" w:pos="4153"/>
        <w:tab w:val="right" w:pos="8306"/>
      </w:tabs>
      <w:snapToGrid w:val="0"/>
      <w:jc w:val="left"/>
    </w:pPr>
    <w:rPr>
      <w:sz w:val="18"/>
      <w:szCs w:val="18"/>
      <w:lang w:val="en-US" w:eastAsia="zh-CN"/>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lang w:val="en-US" w:eastAsia="zh-CN"/>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lang w:val="en-US" w:eastAsia="zh-C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qFormat/>
    <w:uiPriority w:val="0"/>
  </w:style>
  <w:style w:type="character" w:customStyle="1" w:styleId="12">
    <w:name w:val="标题 1 字符"/>
    <w:link w:val="2"/>
    <w:qFormat/>
    <w:uiPriority w:val="0"/>
    <w:rPr>
      <w:rFonts w:eastAsia="宋体"/>
      <w:b/>
      <w:bCs/>
      <w:kern w:val="44"/>
      <w:sz w:val="44"/>
      <w:szCs w:val="44"/>
      <w:lang w:val="en-US" w:eastAsia="zh-CN" w:bidi="ar-SA"/>
    </w:rPr>
  </w:style>
  <w:style w:type="character" w:customStyle="1" w:styleId="13">
    <w:name w:val="标题 2 字符"/>
    <w:link w:val="3"/>
    <w:qFormat/>
    <w:uiPriority w:val="0"/>
    <w:rPr>
      <w:rFonts w:ascii="Arial" w:hAnsi="Arial" w:eastAsia="黑体"/>
      <w:b/>
      <w:bCs/>
      <w:kern w:val="2"/>
      <w:sz w:val="32"/>
      <w:szCs w:val="32"/>
      <w:lang w:val="en-US" w:eastAsia="zh-CN" w:bidi="ar-SA"/>
    </w:rPr>
  </w:style>
  <w:style w:type="character" w:customStyle="1" w:styleId="14">
    <w:name w:val="文档结构图 字符"/>
    <w:link w:val="4"/>
    <w:qFormat/>
    <w:uiPriority w:val="0"/>
    <w:rPr>
      <w:rFonts w:ascii="宋体" w:hAnsi="Calibri" w:cs="黑体"/>
      <w:kern w:val="2"/>
      <w:sz w:val="18"/>
      <w:szCs w:val="18"/>
    </w:rPr>
  </w:style>
  <w:style w:type="character" w:customStyle="1" w:styleId="15">
    <w:name w:val="jq4图片注释 Char"/>
    <w:link w:val="16"/>
    <w:qFormat/>
    <w:uiPriority w:val="0"/>
    <w:rPr>
      <w:rFonts w:eastAsia="Times New Roman"/>
      <w:sz w:val="18"/>
      <w:szCs w:val="24"/>
      <w:lang w:val="en-US" w:eastAsia="zh-CN" w:bidi="ar-SA"/>
    </w:rPr>
  </w:style>
  <w:style w:type="paragraph" w:customStyle="1" w:styleId="16">
    <w:name w:val="jq4图片注释"/>
    <w:next w:val="1"/>
    <w:link w:val="15"/>
    <w:qFormat/>
    <w:uiPriority w:val="0"/>
    <w:pPr>
      <w:spacing w:before="20" w:after="50" w:line="300" w:lineRule="auto"/>
      <w:ind w:firstLine="200"/>
      <w:jc w:val="center"/>
    </w:pPr>
    <w:rPr>
      <w:rFonts w:ascii="Times New Roman" w:hAnsi="Times New Roman" w:eastAsia="Times New Roman" w:cs="Times New Roman"/>
      <w:sz w:val="18"/>
      <w:szCs w:val="24"/>
      <w:lang w:val="en-US" w:eastAsia="zh-CN" w:bidi="ar-SA"/>
    </w:r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lenovo/Desktop/&#20013;&#20849;&#19978;&#28023;&#24066;&#22996;&#25919;&#27861;&#22996;&#21592;&#20250;&#26412;&#32423;2024&#24180;&#38468;&#20214;2-2&#65306;&#21333;&#20301;&#20915;&#31639;&#20844;&#24320;&#27169;&#26495;&#65288;&#24066;&#32423;&#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中共上海市委政法委员会本级2024年附件2-2：单位决算公开模板（市级）.dot</Template>
  <Pages>24</Pages>
  <Words>7258</Words>
  <Characters>9720</Characters>
  <Lines>42</Lines>
  <Paragraphs>11</Paragraphs>
  <TotalTime>437</TotalTime>
  <ScaleCrop>false</ScaleCrop>
  <LinksUpToDate>false</LinksUpToDate>
  <CharactersWithSpaces>9885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2025-07-19T16:43:00Z</dcterms:created>
  <dc:creator>lenovo</dc:creator>
  <cp:lastModifiedBy>lenovo</cp:lastModifiedBy>
  <cp:lastPrinted>2025-08-20T19:18:00Z</cp:lastPrinted>
  <dcterms:modified xsi:type="dcterms:W3CDTF">2025-08-21T13:34:21Z</dcterms:modified>
  <dc:title>附件2：预算主管部门公开样张</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7575AFB8517D41CEA3FB70D9AC03D239_13</vt:lpwstr>
  </property>
</Properties>
</file>